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C76A6B">
      <w:pPr>
        <w:ind w:firstLine="708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C76A6B" w:rsidRPr="00C76A6B">
        <w:rPr>
          <w:rFonts w:ascii="Times New Roman" w:hAnsi="Times New Roman"/>
          <w:sz w:val="24"/>
          <w:lang w:val="bg-BG"/>
        </w:rPr>
        <w:t>„Производствени и складови дейности, бетонов център и асфалтова база“, в поземлен имот с идент. 12259.438.181, земл. гр. Враца, общ. Враца, обл. Враца, с възложител</w:t>
      </w:r>
      <w:r w:rsidR="00C76A6B">
        <w:rPr>
          <w:rFonts w:ascii="Times New Roman" w:hAnsi="Times New Roman"/>
          <w:sz w:val="24"/>
          <w:lang w:val="bg-BG"/>
        </w:rPr>
        <w:t>: „ИГВА ТРЕЙД“ ЕООД, гр. Враца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C76A6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ED6D2B" w:rsidRDefault="003120B3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ED6D2B">
        <w:rPr>
          <w:rFonts w:ascii="Times New Roman" w:hAnsi="Times New Roman"/>
          <w:sz w:val="24"/>
          <w:szCs w:val="24"/>
          <w:lang w:val="bg-BG"/>
        </w:rPr>
        <w:t>изграждане на:</w:t>
      </w:r>
    </w:p>
    <w:p w:rsidR="00ED6D2B" w:rsidRDefault="00ED6D2B" w:rsidP="00ED6D2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66027">
        <w:rPr>
          <w:rFonts w:ascii="Times New Roman" w:hAnsi="Times New Roman"/>
          <w:sz w:val="24"/>
          <w:szCs w:val="24"/>
          <w:lang w:val="bg-BG"/>
        </w:rPr>
        <w:t>бетонов център</w:t>
      </w:r>
      <w:r>
        <w:rPr>
          <w:rFonts w:ascii="Times New Roman" w:hAnsi="Times New Roman"/>
          <w:sz w:val="24"/>
          <w:szCs w:val="24"/>
          <w:lang w:val="bg-BG"/>
        </w:rPr>
        <w:t xml:space="preserve"> на площ около 315 кв.м.;</w:t>
      </w:r>
    </w:p>
    <w:p w:rsidR="00ED6D2B" w:rsidRDefault="00ED6D2B" w:rsidP="00ED6D2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66027">
        <w:rPr>
          <w:rFonts w:ascii="Times New Roman" w:hAnsi="Times New Roman"/>
          <w:sz w:val="24"/>
          <w:szCs w:val="24"/>
          <w:lang w:val="bg-BG"/>
        </w:rPr>
        <w:t>асфалтова база</w:t>
      </w:r>
      <w:r>
        <w:rPr>
          <w:rFonts w:ascii="Times New Roman" w:hAnsi="Times New Roman"/>
          <w:sz w:val="24"/>
          <w:szCs w:val="24"/>
          <w:lang w:val="bg-BG"/>
        </w:rPr>
        <w:t xml:space="preserve"> на площ около 1100 кв.м.;</w:t>
      </w:r>
    </w:p>
    <w:p w:rsidR="00ED6D2B" w:rsidRDefault="00ED6D2B" w:rsidP="00ED6D2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хале за инвентар и техника с РЗП около 1200 кв.м.;</w:t>
      </w:r>
    </w:p>
    <w:p w:rsidR="00ED6D2B" w:rsidRPr="00D66027" w:rsidRDefault="00ED6D2B" w:rsidP="00ED6D2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обособяване на паркинг за около 50 паркоместа за камиони.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Pr="005905C3">
        <w:rPr>
          <w:rFonts w:ascii="Times New Roman" w:hAnsi="Times New Roman"/>
          <w:sz w:val="24"/>
          <w:szCs w:val="24"/>
          <w:lang w:val="bg-BG"/>
        </w:rPr>
        <w:t xml:space="preserve">поземлен имот с идент. </w:t>
      </w:r>
      <w:r w:rsidRPr="00D66027">
        <w:rPr>
          <w:rFonts w:ascii="Times New Roman" w:hAnsi="Times New Roman"/>
          <w:sz w:val="24"/>
          <w:szCs w:val="24"/>
          <w:lang w:val="bg-BG"/>
        </w:rPr>
        <w:t>12259.438.181</w:t>
      </w:r>
      <w:r w:rsidRPr="005905C3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с площ: 19 936 кв.м., с трайно предназначение на територията: „урбанизирана“, НТП; „за друг вид производствен, складов обект“, </w:t>
      </w:r>
      <w:r w:rsidRPr="005905C3">
        <w:rPr>
          <w:rFonts w:ascii="Times New Roman" w:hAnsi="Times New Roman"/>
          <w:sz w:val="24"/>
          <w:szCs w:val="24"/>
          <w:lang w:val="bg-BG"/>
        </w:rPr>
        <w:t>земл. гр. Враца, общ. Враца, обл. Враца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Предвижда се бетоновия център да бъде снабден с: команден център, силози за цимент, бункер за инертни материали (цимент, инертни материали), които от своя страна се смесват в смесител. Съхранението на инертните материали ще бъде в бетонови клетки по фракции, на площ от 400 кв.м. </w:t>
      </w:r>
      <w:r w:rsidRPr="000604B6">
        <w:rPr>
          <w:rFonts w:ascii="Times New Roman" w:hAnsi="Times New Roman"/>
          <w:sz w:val="24"/>
          <w:szCs w:val="24"/>
          <w:lang w:val="bg-BG"/>
        </w:rPr>
        <w:t xml:space="preserve">Бетоновият </w:t>
      </w:r>
      <w:r>
        <w:rPr>
          <w:rFonts w:ascii="Times New Roman" w:hAnsi="Times New Roman"/>
          <w:sz w:val="24"/>
          <w:szCs w:val="24"/>
          <w:lang w:val="bg-BG"/>
        </w:rPr>
        <w:t xml:space="preserve">възел ще бъде с производителност от около 80 куб./ч., мощност 75 </w:t>
      </w:r>
      <w:r>
        <w:rPr>
          <w:rFonts w:ascii="Times New Roman" w:hAnsi="Times New Roman"/>
          <w:sz w:val="24"/>
          <w:szCs w:val="24"/>
          <w:lang w:val="en-GB"/>
        </w:rPr>
        <w:t xml:space="preserve">kW. 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асфалтовата база ще бъдат монтирани циклони сепаратори при смесителя. Базата ще бъде захранвана с гориво газ – бутилкова инсталация. Асфалтовата база ще бъде снабдена с команден център, бункер за инертни материали, вертикални цистерни за битума – 2 бр. по 50 куб.м. всяка. Предвижда се да е с капацитет около 60-80 тона/час, инсталирана мощност 280 </w:t>
      </w:r>
      <w:r>
        <w:rPr>
          <w:rFonts w:ascii="Times New Roman" w:hAnsi="Times New Roman"/>
          <w:sz w:val="24"/>
          <w:szCs w:val="24"/>
          <w:lang w:val="en-GB"/>
        </w:rPr>
        <w:t>kW.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Предвижда се монтиране на пречиствателни съоръжения за намаляване на емисиите на вредни вещества, изпускани в атмосферния въздух от дейността на обекта.</w:t>
      </w:r>
    </w:p>
    <w:p w:rsidR="00ED6D2B" w:rsidRPr="00587FF5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Представени</w:t>
      </w:r>
      <w:r w:rsidRPr="007064C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7064C8">
        <w:rPr>
          <w:rFonts w:ascii="Times New Roman" w:hAnsi="Times New Roman"/>
          <w:sz w:val="24"/>
          <w:szCs w:val="24"/>
          <w:lang w:val="bg-BG"/>
        </w:rPr>
        <w:t>резултати от математическо моделиране на дисперсията на емисиите на вредни вещества в приземния атмосферен слой,  направено по утвърдена от Министъра на околната среда и водите "Методика за изчисляване на височината на изпускащите устройства, разсейването и очакваните концентрации на замърсяващи вещества в приземния слой на атмосфе</w:t>
      </w:r>
      <w:r>
        <w:rPr>
          <w:rFonts w:ascii="Times New Roman" w:hAnsi="Times New Roman"/>
          <w:sz w:val="24"/>
          <w:szCs w:val="24"/>
          <w:lang w:val="bg-BG"/>
        </w:rPr>
        <w:t>рата" (методика  PLUME) показващи</w:t>
      </w:r>
      <w:r w:rsidRPr="007064C8">
        <w:rPr>
          <w:rFonts w:ascii="Times New Roman" w:hAnsi="Times New Roman"/>
          <w:sz w:val="24"/>
          <w:szCs w:val="24"/>
          <w:lang w:val="bg-BG"/>
        </w:rPr>
        <w:t>, че въздействието върху качеството на атмосферния въздух в района от дейността на инсталацията ще бъде незначително, с локален обхват, тъй като максималните еднократни и максималните средногодишни приземни концентрации на замъ</w:t>
      </w:r>
      <w:r>
        <w:rPr>
          <w:rFonts w:ascii="Times New Roman" w:hAnsi="Times New Roman"/>
          <w:sz w:val="24"/>
          <w:szCs w:val="24"/>
          <w:lang w:val="bg-BG"/>
        </w:rPr>
        <w:t>рсителите (ФПЧ10, NOX, SOX, CO)</w:t>
      </w:r>
      <w:r w:rsidRPr="007064C8">
        <w:rPr>
          <w:rFonts w:ascii="Times New Roman" w:hAnsi="Times New Roman"/>
          <w:sz w:val="24"/>
          <w:szCs w:val="24"/>
          <w:lang w:val="bg-BG"/>
        </w:rPr>
        <w:t xml:space="preserve"> ще бъдат многократно по-ниски от допустимите норми (съгласно Наредба №12 за норми на серен диоксид, азотен диоксид, фини прахови частици, олово, бензен, въглероден оксид и</w:t>
      </w:r>
      <w:r>
        <w:rPr>
          <w:rFonts w:ascii="Times New Roman" w:hAnsi="Times New Roman"/>
          <w:sz w:val="24"/>
          <w:szCs w:val="24"/>
          <w:lang w:val="bg-BG"/>
        </w:rPr>
        <w:t xml:space="preserve"> озон в атмосферния въздух</w:t>
      </w:r>
      <w:r w:rsidRPr="007064C8">
        <w:rPr>
          <w:rFonts w:ascii="Times New Roman" w:hAnsi="Times New Roman"/>
          <w:sz w:val="24"/>
          <w:szCs w:val="24"/>
          <w:lang w:val="bg-BG"/>
        </w:rPr>
        <w:t>).</w:t>
      </w:r>
    </w:p>
    <w:p w:rsidR="00ED6D2B" w:rsidRPr="00887803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При асфалтовата база ще има бетонови клетки за съхранение на инертни материали. Ще има и два броя клетки за отпадъчен асфалт от пътна настилка, формиран от нейния ремонт, който ще се влага в производството на асфалт. Транспортирането до производствената площадка ще се извършва от лицензирана фирма.</w:t>
      </w:r>
    </w:p>
    <w:p w:rsidR="00ED6D2B" w:rsidRPr="00760937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0937">
        <w:rPr>
          <w:rFonts w:ascii="Times New Roman" w:hAnsi="Times New Roman"/>
          <w:sz w:val="24"/>
          <w:szCs w:val="24"/>
          <w:lang w:val="bg-BG"/>
        </w:rPr>
        <w:t xml:space="preserve">Генерираните при реализацията на ИП строителни отпадъци ще се събират в специализирани контейнери за целта. </w:t>
      </w:r>
    </w:p>
    <w:p w:rsidR="00ED6D2B" w:rsidRPr="00760937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0937">
        <w:rPr>
          <w:rFonts w:ascii="Times New Roman" w:hAnsi="Times New Roman"/>
          <w:sz w:val="24"/>
          <w:szCs w:val="24"/>
          <w:lang w:val="bg-BG"/>
        </w:rPr>
        <w:t xml:space="preserve">Битовите отпадъци ще се събират в контейнери и извозват на депо от съответната фирма обслужваща населеното място. 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представената информация 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се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предвижда 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вода за производствени нужди да се осигури от съществуващ в имота </w:t>
      </w:r>
      <w:r>
        <w:rPr>
          <w:rFonts w:ascii="Times New Roman" w:hAnsi="Times New Roman"/>
          <w:sz w:val="24"/>
          <w:szCs w:val="24"/>
          <w:lang w:val="bg-BG"/>
        </w:rPr>
        <w:t>подземен водоизточник, който предстои да бъде регистриран.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D6D2B" w:rsidRPr="00F43B0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Формираните битови отпадъчни води от обекта ще преминават през локално пречиствателно съоръжение и ще се заустват във водоплътна изгребна яма. </w:t>
      </w:r>
    </w:p>
    <w:p w:rsidR="00ED6D2B" w:rsidRPr="00F43B0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3B0B">
        <w:rPr>
          <w:rFonts w:ascii="Times New Roman" w:hAnsi="Times New Roman"/>
          <w:sz w:val="24"/>
          <w:szCs w:val="24"/>
          <w:lang w:val="bg-BG"/>
        </w:rPr>
        <w:t>Предвижда се захранване на обекта с ел</w:t>
      </w:r>
      <w:r>
        <w:rPr>
          <w:rFonts w:ascii="Times New Roman" w:hAnsi="Times New Roman"/>
          <w:sz w:val="24"/>
          <w:szCs w:val="24"/>
          <w:lang w:val="bg-BG"/>
        </w:rPr>
        <w:t>. енергия, като се предвижда изграждане на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 трафопост и </w:t>
      </w:r>
      <w:r>
        <w:rPr>
          <w:rFonts w:ascii="Times New Roman" w:hAnsi="Times New Roman"/>
          <w:sz w:val="24"/>
          <w:szCs w:val="24"/>
          <w:lang w:val="bg-BG"/>
        </w:rPr>
        <w:t xml:space="preserve">подземна 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кабелна линия 20 </w:t>
      </w:r>
      <w:r>
        <w:rPr>
          <w:rFonts w:ascii="Times New Roman" w:hAnsi="Times New Roman"/>
          <w:sz w:val="24"/>
          <w:szCs w:val="24"/>
          <w:lang w:val="en-GB"/>
        </w:rPr>
        <w:t xml:space="preserve">kV. </w:t>
      </w:r>
      <w:r>
        <w:rPr>
          <w:rFonts w:ascii="Times New Roman" w:hAnsi="Times New Roman"/>
          <w:sz w:val="24"/>
          <w:szCs w:val="24"/>
          <w:lang w:val="bg-BG"/>
        </w:rPr>
        <w:t>Дължината на трасето е 716, 25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 м.</w:t>
      </w:r>
      <w:r>
        <w:rPr>
          <w:rFonts w:ascii="Times New Roman" w:hAnsi="Times New Roman"/>
          <w:sz w:val="24"/>
          <w:szCs w:val="24"/>
          <w:lang w:val="bg-BG"/>
        </w:rPr>
        <w:t>, в съответствие с одобрен ПУП-ПП (с Решение №663 от Протокол №44/ 28.06.2022 г. на Общински съвет – Враца).</w:t>
      </w:r>
      <w:r w:rsidRPr="00F43B0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Трасето е разположено в сервитута на съществуващ земеделски път.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6260E">
        <w:rPr>
          <w:rFonts w:ascii="Times New Roman" w:hAnsi="Times New Roman"/>
          <w:sz w:val="24"/>
          <w:szCs w:val="24"/>
          <w:lang w:val="bg-BG"/>
        </w:rPr>
        <w:t>Не се предвиждат дейности по изграждане на нова или промяна на съществуващата пътна инфраструктура.</w:t>
      </w:r>
    </w:p>
    <w:p w:rsidR="00D81823" w:rsidRDefault="00FA1A0F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нвестиционно</w:t>
      </w:r>
      <w:r w:rsidR="00822A66">
        <w:rPr>
          <w:rFonts w:ascii="Times New Roman" w:hAnsi="Times New Roman"/>
          <w:sz w:val="24"/>
          <w:szCs w:val="24"/>
          <w:lang w:val="bg-BG"/>
        </w:rPr>
        <w:t>то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 предложение попада в обхвата на </w:t>
      </w:r>
      <w:r w:rsidR="00ED6D2B">
        <w:rPr>
          <w:rFonts w:ascii="Times New Roman" w:hAnsi="Times New Roman"/>
          <w:sz w:val="24"/>
          <w:szCs w:val="24"/>
          <w:lang w:val="bg-BG"/>
        </w:rPr>
        <w:t xml:space="preserve">т. </w:t>
      </w:r>
      <w:r w:rsidR="00ED6D2B">
        <w:rPr>
          <w:rFonts w:ascii="Times New Roman" w:hAnsi="Times New Roman"/>
          <w:sz w:val="24"/>
          <w:szCs w:val="24"/>
          <w:lang w:val="en-GB"/>
        </w:rPr>
        <w:t>6</w:t>
      </w:r>
      <w:r w:rsidR="00ED6D2B" w:rsidRPr="000A27FD">
        <w:rPr>
          <w:rFonts w:ascii="Times New Roman" w:hAnsi="Times New Roman"/>
          <w:sz w:val="24"/>
          <w:szCs w:val="24"/>
          <w:lang w:val="bg-BG"/>
        </w:rPr>
        <w:t>, б. „</w:t>
      </w:r>
      <w:r w:rsidR="00ED6D2B">
        <w:rPr>
          <w:rFonts w:ascii="Times New Roman" w:hAnsi="Times New Roman"/>
          <w:sz w:val="24"/>
          <w:szCs w:val="24"/>
          <w:lang w:val="bg-BG"/>
        </w:rPr>
        <w:t>в</w:t>
      </w:r>
      <w:r w:rsidR="00ED6D2B" w:rsidRPr="000A27FD">
        <w:rPr>
          <w:rFonts w:ascii="Times New Roman" w:hAnsi="Times New Roman"/>
          <w:sz w:val="24"/>
          <w:szCs w:val="24"/>
          <w:lang w:val="bg-BG"/>
        </w:rPr>
        <w:t>” - “</w:t>
      </w:r>
      <w:r w:rsidR="00ED6D2B" w:rsidRPr="00D66027">
        <w:rPr>
          <w:rFonts w:ascii="Times New Roman" w:hAnsi="Times New Roman"/>
          <w:sz w:val="24"/>
          <w:szCs w:val="24"/>
          <w:lang w:val="bg-BG"/>
        </w:rPr>
        <w:t>съоръжения за съхраняване на нефт, нефтопродукти и химически вещества</w:t>
      </w:r>
      <w:r w:rsidR="00ED6D2B" w:rsidRPr="000A27FD">
        <w:rPr>
          <w:rFonts w:ascii="Times New Roman" w:hAnsi="Times New Roman"/>
          <w:sz w:val="24"/>
          <w:szCs w:val="24"/>
          <w:lang w:val="bg-BG"/>
        </w:rPr>
        <w:t>”</w:t>
      </w:r>
      <w:r w:rsidR="00ED6D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на Приложение №2 на ЗООС. В тази връзка съгласно чл.</w:t>
      </w:r>
      <w:r w:rsidR="00D81823" w:rsidRPr="00DB745B">
        <w:t xml:space="preserve"> </w:t>
      </w:r>
      <w:r w:rsidR="00D81823">
        <w:rPr>
          <w:rFonts w:ascii="Times New Roman" w:hAnsi="Times New Roman"/>
          <w:sz w:val="24"/>
          <w:szCs w:val="24"/>
          <w:lang w:val="bg-BG"/>
        </w:rPr>
        <w:t xml:space="preserve">93, ал. 1, т. 1 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 xml:space="preserve">от ЗООС инвестиционното предложение </w:t>
      </w:r>
      <w:r w:rsidR="00D81823" w:rsidRPr="000475A8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="00D81823" w:rsidRPr="000475A8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ED6D2B" w:rsidRPr="006174FD" w:rsidRDefault="00ED6D2B" w:rsidP="00ED6D2B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</w:t>
      </w:r>
      <w:r w:rsidRPr="00A03EEB">
        <w:rPr>
          <w:rFonts w:ascii="Times New Roman" w:hAnsi="Times New Roman"/>
          <w:sz w:val="24"/>
          <w:szCs w:val="24"/>
          <w:lang w:val="bg-BG"/>
        </w:rPr>
        <w:t xml:space="preserve">действащите </w:t>
      </w:r>
      <w:r w:rsidRPr="006174FD">
        <w:rPr>
          <w:rFonts w:ascii="Times New Roman" w:hAnsi="Times New Roman"/>
          <w:sz w:val="24"/>
          <w:szCs w:val="24"/>
          <w:lang w:val="bg-BG"/>
        </w:rPr>
        <w:t xml:space="preserve">планове за управление на речните басейни (ПУРБ) и планове за управление на риска от наводнения (ПУРН). </w:t>
      </w:r>
    </w:p>
    <w:p w:rsidR="00ED6D2B" w:rsidRPr="004A7195" w:rsidRDefault="00ED6D2B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ab/>
      </w:r>
      <w:r w:rsidRPr="004A7195">
        <w:rPr>
          <w:rFonts w:ascii="Times New Roman" w:hAnsi="Times New Roman"/>
          <w:sz w:val="24"/>
          <w:szCs w:val="24"/>
          <w:lang w:val="bg-BG"/>
        </w:rPr>
        <w:t>Предвид полученото в РИОСВ – Враца становище на БДДР – Плевен с изх. №</w:t>
      </w:r>
      <w:r w:rsidRPr="00C5754B">
        <w:t xml:space="preserve"> </w:t>
      </w:r>
      <w:r w:rsidRPr="00B60F8E">
        <w:rPr>
          <w:rFonts w:ascii="Times New Roman" w:hAnsi="Times New Roman"/>
          <w:sz w:val="24"/>
          <w:szCs w:val="24"/>
          <w:lang w:val="bg-BG"/>
        </w:rPr>
        <w:t xml:space="preserve">ПУ-01-44-(1)/02.02.2024г. </w:t>
      </w:r>
      <w:r w:rsidRPr="004A7195">
        <w:rPr>
          <w:rFonts w:ascii="Times New Roman" w:hAnsi="Times New Roman"/>
          <w:sz w:val="24"/>
          <w:szCs w:val="24"/>
          <w:lang w:val="bg-BG"/>
        </w:rPr>
        <w:t>(копие от което Ви се предоставя за съобразяване):</w:t>
      </w:r>
    </w:p>
    <w:p w:rsidR="00ED6D2B" w:rsidRPr="004A7195" w:rsidRDefault="00ED6D2B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реализирането на ИП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целите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>опазване на околната среда, заложени в ПУРБ 2016 – 2021 г.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 спазване на мерките и законовите изисквания посочени в становището</w:t>
      </w:r>
      <w:r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ED6D2B" w:rsidRPr="004A7195" w:rsidRDefault="00ED6D2B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 w:rsidRPr="00C5754B">
        <w:rPr>
          <w:rFonts w:ascii="Times New Roman" w:hAnsi="Times New Roman"/>
          <w:sz w:val="24"/>
          <w:szCs w:val="24"/>
          <w:lang w:val="bg-BG"/>
        </w:rPr>
        <w:t>ПУРН 2016 – 2021 г.</w:t>
      </w:r>
      <w:r w:rsidRPr="00C5754B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дейности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не са в противоречие с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мерки в </w:t>
      </w:r>
      <w:r w:rsidRPr="00C5754B">
        <w:rPr>
          <w:rFonts w:ascii="Times New Roman" w:hAnsi="Times New Roman"/>
          <w:sz w:val="24"/>
          <w:szCs w:val="24"/>
          <w:lang w:val="bg-BG"/>
        </w:rPr>
        <w:t>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2016-2021г.;</w:t>
      </w:r>
    </w:p>
    <w:p w:rsidR="00ED6D2B" w:rsidRDefault="00ED6D2B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</w:t>
      </w:r>
      <w:r>
        <w:rPr>
          <w:rFonts w:ascii="Times New Roman" w:hAnsi="Times New Roman"/>
          <w:sz w:val="24"/>
          <w:szCs w:val="24"/>
          <w:lang w:val="bg-BG"/>
        </w:rPr>
        <w:t>, определени в ПУРБ и ПУРН в ДРБУ,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и не се 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и </w:t>
      </w:r>
      <w:r w:rsidRPr="00C5754B">
        <w:rPr>
          <w:rFonts w:ascii="Times New Roman" w:hAnsi="Times New Roman"/>
          <w:sz w:val="24"/>
          <w:szCs w:val="24"/>
          <w:lang w:val="bg-BG"/>
        </w:rPr>
        <w:t>законовите изисквания посочени в горецитираното становище.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6D2B" w:rsidRDefault="003120B3" w:rsidP="00ED6D2B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</w:r>
      <w:r w:rsidR="00ED6D2B">
        <w:rPr>
          <w:rFonts w:ascii="Times New Roman" w:hAnsi="Times New Roman"/>
          <w:sz w:val="24"/>
          <w:szCs w:val="24"/>
          <w:lang w:val="bg-BG"/>
        </w:rPr>
        <w:t>И</w:t>
      </w:r>
      <w:r w:rsidR="00ED6D2B" w:rsidRPr="008024CC">
        <w:rPr>
          <w:rFonts w:ascii="Times New Roman" w:hAnsi="Times New Roman"/>
          <w:sz w:val="24"/>
          <w:szCs w:val="24"/>
          <w:lang w:val="bg-BG"/>
        </w:rPr>
        <w:t>мот</w:t>
      </w:r>
      <w:r w:rsidR="00ED6D2B">
        <w:rPr>
          <w:rFonts w:ascii="Times New Roman" w:hAnsi="Times New Roman"/>
          <w:sz w:val="24"/>
          <w:szCs w:val="24"/>
          <w:lang w:val="bg-BG"/>
        </w:rPr>
        <w:t>ът</w:t>
      </w:r>
      <w:r w:rsidR="00ED6D2B" w:rsidRPr="008024CC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D6D2B">
        <w:rPr>
          <w:rFonts w:ascii="Times New Roman" w:hAnsi="Times New Roman"/>
          <w:sz w:val="24"/>
          <w:szCs w:val="24"/>
          <w:lang w:val="bg-BG"/>
        </w:rPr>
        <w:t xml:space="preserve">предмет на ИП, </w:t>
      </w:r>
      <w:r w:rsidR="00ED6D2B" w:rsidRPr="00BF4AB1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="00ED6D2B" w:rsidRPr="00BF4AB1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Закона за защитените територии /ЗЗТ/ и </w:t>
      </w:r>
      <w:r w:rsidR="00ED6D2B" w:rsidRPr="00BF4AB1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="00ED6D2B" w:rsidRPr="00BF4AB1">
        <w:rPr>
          <w:rFonts w:ascii="Times New Roman" w:hAnsi="Times New Roman"/>
          <w:sz w:val="24"/>
          <w:szCs w:val="24"/>
          <w:lang w:val="bg-BG"/>
        </w:rPr>
        <w:t xml:space="preserve"> в обхвата на защитени зони съгласно Закона за биологичното разнообразие /ЗБР/.</w:t>
      </w:r>
    </w:p>
    <w:p w:rsidR="00ED6D2B" w:rsidRDefault="00ED6D2B" w:rsidP="00ED6D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B38B0">
        <w:rPr>
          <w:rFonts w:ascii="Times New Roman" w:hAnsi="Times New Roman"/>
          <w:sz w:val="24"/>
          <w:szCs w:val="24"/>
          <w:lang w:val="bg-BG"/>
        </w:rPr>
        <w:lastRenderedPageBreak/>
        <w:t xml:space="preserve">Най-близо разположената защитена зона, на 3,300 км е BG0000166 "Врачански Балкан" за опазване на природните местообитания и на дивата флора и фауна, обявена със Заповед № РД-1031/17.12.2020 г. на МОСВ (обн. ДВ, бр. 19/2021 г.).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D83416">
        <w:rPr>
          <w:rFonts w:ascii="Times New Roman" w:hAnsi="Times New Roman"/>
          <w:sz w:val="24"/>
          <w:szCs w:val="24"/>
          <w:lang w:val="bg-BG"/>
        </w:rPr>
        <w:t>изпратено до</w:t>
      </w:r>
      <w:r w:rsidR="007D1468">
        <w:rPr>
          <w:rFonts w:ascii="Times New Roman" w:hAnsi="Times New Roman"/>
          <w:sz w:val="24"/>
          <w:szCs w:val="24"/>
          <w:lang w:val="bg-BG"/>
        </w:rPr>
        <w:t xml:space="preserve"> о</w:t>
      </w:r>
      <w:r w:rsidR="00ED6D2B">
        <w:rPr>
          <w:rFonts w:ascii="Times New Roman" w:hAnsi="Times New Roman"/>
          <w:sz w:val="24"/>
          <w:szCs w:val="24"/>
          <w:lang w:val="bg-BG"/>
        </w:rPr>
        <w:t>бщина Враца и БДДР-Плевен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C8533B" w:rsidRDefault="00C8533B" w:rsidP="00A61B8D">
      <w:pPr>
        <w:ind w:left="709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ED6D2B">
        <w:rPr>
          <w:rFonts w:ascii="Times New Roman" w:hAnsi="Times New Roman"/>
          <w:sz w:val="24"/>
          <w:szCs w:val="24"/>
          <w:lang w:val="bg-BG"/>
        </w:rPr>
        <w:t>14</w:t>
      </w:r>
      <w:r w:rsidR="007D1468">
        <w:rPr>
          <w:rFonts w:ascii="Times New Roman" w:hAnsi="Times New Roman"/>
          <w:sz w:val="24"/>
          <w:szCs w:val="24"/>
          <w:lang w:val="bg-BG"/>
        </w:rPr>
        <w:t>.0</w:t>
      </w:r>
      <w:r w:rsidR="00ED6D2B">
        <w:rPr>
          <w:rFonts w:ascii="Times New Roman" w:hAnsi="Times New Roman"/>
          <w:sz w:val="24"/>
          <w:szCs w:val="24"/>
          <w:lang w:val="bg-BG"/>
        </w:rPr>
        <w:t>3</w:t>
      </w:r>
      <w:r w:rsidR="004F7267" w:rsidRPr="004F7267">
        <w:rPr>
          <w:rFonts w:ascii="Times New Roman" w:hAnsi="Times New Roman"/>
          <w:sz w:val="24"/>
          <w:szCs w:val="24"/>
          <w:lang w:val="bg-BG"/>
        </w:rPr>
        <w:t>.2024</w:t>
      </w:r>
      <w:r w:rsidRPr="004F7267">
        <w:rPr>
          <w:rFonts w:ascii="Times New Roman" w:hAnsi="Times New Roman"/>
          <w:sz w:val="24"/>
          <w:szCs w:val="24"/>
          <w:lang w:val="bg-BG"/>
        </w:rPr>
        <w:t>г</w:t>
      </w:r>
      <w:r w:rsidRPr="003120B3">
        <w:rPr>
          <w:rFonts w:ascii="Times New Roman" w:hAnsi="Times New Roman"/>
          <w:sz w:val="24"/>
          <w:szCs w:val="24"/>
          <w:lang w:val="bg-BG"/>
        </w:rPr>
        <w:t>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CF" w:rsidRDefault="00A84ECF">
      <w:r>
        <w:separator/>
      </w:r>
    </w:p>
  </w:endnote>
  <w:endnote w:type="continuationSeparator" w:id="0">
    <w:p w:rsidR="00A84ECF" w:rsidRDefault="00A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61B8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61B8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11B766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CF" w:rsidRDefault="00A84ECF">
      <w:r>
        <w:separator/>
      </w:r>
    </w:p>
  </w:footnote>
  <w:footnote w:type="continuationSeparator" w:id="0">
    <w:p w:rsidR="00A84ECF" w:rsidRDefault="00A8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728AD3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8A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1A8"/>
    <w:multiLevelType w:val="hybridMultilevel"/>
    <w:tmpl w:val="3A58ACA6"/>
    <w:lvl w:ilvl="0" w:tplc="09C05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32D8"/>
    <w:multiLevelType w:val="hybridMultilevel"/>
    <w:tmpl w:val="D3829C4E"/>
    <w:lvl w:ilvl="0" w:tplc="C74403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33D86"/>
    <w:multiLevelType w:val="hybridMultilevel"/>
    <w:tmpl w:val="1FEA9EC2"/>
    <w:lvl w:ilvl="0" w:tplc="239672F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CE4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805BB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85125"/>
    <w:rsid w:val="001B170D"/>
    <w:rsid w:val="001B4BA4"/>
    <w:rsid w:val="001B4BA5"/>
    <w:rsid w:val="001C5702"/>
    <w:rsid w:val="001C65F1"/>
    <w:rsid w:val="001C6903"/>
    <w:rsid w:val="001D52BE"/>
    <w:rsid w:val="001E10FE"/>
    <w:rsid w:val="001E4C63"/>
    <w:rsid w:val="0020455A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1712"/>
    <w:rsid w:val="00473CEC"/>
    <w:rsid w:val="00487A07"/>
    <w:rsid w:val="004A7867"/>
    <w:rsid w:val="004C0E3E"/>
    <w:rsid w:val="004C24D1"/>
    <w:rsid w:val="004C3144"/>
    <w:rsid w:val="004D3F17"/>
    <w:rsid w:val="004F04D9"/>
    <w:rsid w:val="004F7267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5F749A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2006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7D1468"/>
    <w:rsid w:val="00810CB7"/>
    <w:rsid w:val="00822A66"/>
    <w:rsid w:val="00832984"/>
    <w:rsid w:val="00836DEF"/>
    <w:rsid w:val="00842F0C"/>
    <w:rsid w:val="008516CB"/>
    <w:rsid w:val="0085348A"/>
    <w:rsid w:val="00854FC5"/>
    <w:rsid w:val="008719BB"/>
    <w:rsid w:val="00876767"/>
    <w:rsid w:val="00890F99"/>
    <w:rsid w:val="008B0206"/>
    <w:rsid w:val="008B1300"/>
    <w:rsid w:val="008D74B9"/>
    <w:rsid w:val="00917958"/>
    <w:rsid w:val="00926155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36E8D"/>
    <w:rsid w:val="00A61B8D"/>
    <w:rsid w:val="00A671F2"/>
    <w:rsid w:val="00A84ECF"/>
    <w:rsid w:val="00AD13E8"/>
    <w:rsid w:val="00AF0BEC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1941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6A6B"/>
    <w:rsid w:val="00C7759E"/>
    <w:rsid w:val="00C8533B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D81823"/>
    <w:rsid w:val="00D83416"/>
    <w:rsid w:val="00E15B5B"/>
    <w:rsid w:val="00E344E2"/>
    <w:rsid w:val="00E5574B"/>
    <w:rsid w:val="00E562C0"/>
    <w:rsid w:val="00E577F1"/>
    <w:rsid w:val="00E73AE9"/>
    <w:rsid w:val="00E85447"/>
    <w:rsid w:val="00E91F4A"/>
    <w:rsid w:val="00EA3B1F"/>
    <w:rsid w:val="00EB63EB"/>
    <w:rsid w:val="00EC304D"/>
    <w:rsid w:val="00EC5792"/>
    <w:rsid w:val="00ED1377"/>
    <w:rsid w:val="00ED6D2B"/>
    <w:rsid w:val="00EE591C"/>
    <w:rsid w:val="00F133D0"/>
    <w:rsid w:val="00F25365"/>
    <w:rsid w:val="00F50DE6"/>
    <w:rsid w:val="00F65E18"/>
    <w:rsid w:val="00F72CF1"/>
    <w:rsid w:val="00F82768"/>
    <w:rsid w:val="00F85505"/>
    <w:rsid w:val="00FA1A0F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04A28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E56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2FEDA-567C-44B6-AF8C-805C5AC8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25</cp:revision>
  <cp:lastPrinted>2023-06-02T13:38:00Z</cp:lastPrinted>
  <dcterms:created xsi:type="dcterms:W3CDTF">2023-06-12T10:39:00Z</dcterms:created>
  <dcterms:modified xsi:type="dcterms:W3CDTF">2024-03-15T07:50:00Z</dcterms:modified>
</cp:coreProperties>
</file>