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898525</wp:posOffset>
            </wp:positionH>
            <wp:positionV relativeFrom="page">
              <wp:posOffset>327025</wp:posOffset>
            </wp:positionV>
            <wp:extent cx="6296025" cy="12096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296025" cy="120967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88" w:lineRule="exact"/>
        <w:rPr>
          <w:sz w:val="24"/>
          <w:szCs w:val="24"/>
          <w:color w:val="auto"/>
        </w:rPr>
      </w:pPr>
    </w:p>
    <w:p>
      <w:pPr>
        <w:ind w:left="2860"/>
        <w:spacing w:after="0"/>
        <w:rPr>
          <w:sz w:val="20"/>
          <w:szCs w:val="20"/>
          <w:color w:val="auto"/>
        </w:rPr>
      </w:pPr>
      <w:r>
        <w:rPr>
          <w:rFonts w:ascii="Times New Roman" w:cs="Times New Roman" w:eastAsia="Times New Roman" w:hAnsi="Times New Roman"/>
          <w:sz w:val="48"/>
          <w:szCs w:val="48"/>
          <w:b w:val="1"/>
          <w:bCs w:val="1"/>
          <w:color w:val="auto"/>
        </w:rPr>
        <w:t>ПРЕДЛОЖЕНИЕ</w:t>
      </w:r>
    </w:p>
    <w:p>
      <w:pPr>
        <w:ind w:left="2740"/>
        <w:spacing w:after="0"/>
        <w:rPr>
          <w:sz w:val="20"/>
          <w:szCs w:val="20"/>
          <w:color w:val="auto"/>
        </w:rPr>
      </w:pPr>
      <w:r>
        <w:rPr>
          <w:rFonts w:ascii="Times New Roman" w:cs="Times New Roman" w:eastAsia="Times New Roman" w:hAnsi="Times New Roman"/>
          <w:sz w:val="48"/>
          <w:szCs w:val="48"/>
          <w:b w:val="1"/>
          <w:bCs w:val="1"/>
          <w:color w:val="auto"/>
        </w:rPr>
        <w:t>ЗА УПРАВЛЕНИЕ</w:t>
      </w:r>
    </w:p>
    <w:p>
      <w:pPr>
        <w:jc w:val="center"/>
        <w:spacing w:after="0"/>
        <w:rPr>
          <w:sz w:val="20"/>
          <w:szCs w:val="20"/>
          <w:color w:val="auto"/>
        </w:rPr>
      </w:pPr>
      <w:r>
        <w:rPr>
          <w:rFonts w:ascii="Times New Roman" w:cs="Times New Roman" w:eastAsia="Times New Roman" w:hAnsi="Times New Roman"/>
          <w:sz w:val="48"/>
          <w:szCs w:val="48"/>
          <w:b w:val="1"/>
          <w:bCs w:val="1"/>
          <w:color w:val="auto"/>
        </w:rPr>
        <w:t>НА МИННИТЕ ОТПАДЪЦИ</w:t>
      </w:r>
    </w:p>
    <w:p>
      <w:pPr>
        <w:spacing w:after="0" w:line="332"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36"/>
          <w:szCs w:val="36"/>
          <w:color w:val="auto"/>
        </w:rPr>
        <w:t>при осъществяване на инвестиционно предложение:</w:t>
      </w:r>
    </w:p>
    <w:p>
      <w:pPr>
        <w:spacing w:after="0" w:line="1" w:lineRule="exact"/>
        <w:rPr>
          <w:sz w:val="24"/>
          <w:szCs w:val="24"/>
          <w:color w:val="auto"/>
        </w:rPr>
      </w:pPr>
    </w:p>
    <w:p>
      <w:pPr>
        <w:jc w:val="center"/>
        <w:spacing w:after="0" w:line="252" w:lineRule="auto"/>
        <w:rPr>
          <w:sz w:val="20"/>
          <w:szCs w:val="20"/>
          <w:color w:val="auto"/>
        </w:rPr>
      </w:pPr>
      <w:r>
        <w:rPr>
          <w:rFonts w:ascii="Times New Roman" w:cs="Times New Roman" w:eastAsia="Times New Roman" w:hAnsi="Times New Roman"/>
          <w:sz w:val="36"/>
          <w:szCs w:val="36"/>
          <w:b w:val="1"/>
          <w:bCs w:val="1"/>
          <w:color w:val="auto"/>
        </w:rPr>
        <w:t>„Добив на подземни богатства – индустриални минерали – глауконитови пясъчници от находище „ГЛОРИЯ”, разположено в землищата на с. Мало Пещене и с. Голямо Пещене, общ. Враца, обл. Враца”</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2" w:lineRule="exact"/>
        <w:rPr>
          <w:sz w:val="24"/>
          <w:szCs w:val="24"/>
          <w:color w:val="auto"/>
        </w:rPr>
      </w:pPr>
    </w:p>
    <w:p>
      <w:pPr>
        <w:ind w:left="5300"/>
        <w:spacing w:after="0"/>
        <w:rPr>
          <w:sz w:val="20"/>
          <w:szCs w:val="20"/>
          <w:color w:val="auto"/>
        </w:rPr>
      </w:pPr>
      <w:r>
        <w:rPr>
          <w:rFonts w:ascii="Times New Roman" w:cs="Times New Roman" w:eastAsia="Times New Roman" w:hAnsi="Times New Roman"/>
          <w:sz w:val="28"/>
          <w:szCs w:val="28"/>
          <w:b w:val="1"/>
          <w:bCs w:val="1"/>
          <w:color w:val="auto"/>
        </w:rPr>
        <w:t>Управител:</w:t>
      </w:r>
    </w:p>
    <w:p>
      <w:pPr>
        <w:spacing w:after="0" w:line="321" w:lineRule="exact"/>
        <w:rPr>
          <w:sz w:val="24"/>
          <w:szCs w:val="24"/>
          <w:color w:val="auto"/>
        </w:rPr>
      </w:pPr>
    </w:p>
    <w:p>
      <w:pPr>
        <w:ind w:left="6920"/>
        <w:spacing w:after="0"/>
        <w:rPr>
          <w:sz w:val="20"/>
          <w:szCs w:val="20"/>
          <w:color w:val="auto"/>
        </w:rPr>
      </w:pPr>
      <w:r>
        <w:rPr>
          <w:rFonts w:ascii="Times New Roman" w:cs="Times New Roman" w:eastAsia="Times New Roman" w:hAnsi="Times New Roman"/>
          <w:sz w:val="28"/>
          <w:szCs w:val="28"/>
          <w:b w:val="1"/>
          <w:bCs w:val="1"/>
          <w:color w:val="auto"/>
        </w:rPr>
        <w:t>/д-р Никола Вардев/</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9" w:lineRule="exact"/>
        <w:rPr>
          <w:sz w:val="24"/>
          <w:szCs w:val="24"/>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София</w:t>
      </w:r>
    </w:p>
    <w:p>
      <w:pPr>
        <w:jc w:val="center"/>
        <w:spacing w:after="0"/>
        <w:rPr>
          <w:sz w:val="20"/>
          <w:szCs w:val="20"/>
          <w:color w:val="auto"/>
        </w:rPr>
      </w:pPr>
      <w:r>
        <w:rPr>
          <w:rFonts w:ascii="Times New Roman" w:cs="Times New Roman" w:eastAsia="Times New Roman" w:hAnsi="Times New Roman"/>
          <w:sz w:val="28"/>
          <w:szCs w:val="28"/>
          <w:b w:val="1"/>
          <w:bCs w:val="1"/>
          <w:color w:val="auto"/>
        </w:rPr>
        <w:t>Декември, 2017 г.</w:t>
      </w:r>
    </w:p>
    <w:p>
      <w:pPr>
        <w:sectPr>
          <w:pgSz w:w="11920" w:h="16850" w:orient="portrait"/>
          <w:cols w:equalWidth="0" w:num="1">
            <w:col w:w="9620"/>
          </w:cols>
          <w:pgMar w:left="1360" w:top="1440" w:right="931" w:bottom="286" w:gutter="0" w:footer="0" w:header="0"/>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200" w:lineRule="exact"/>
        <w:rPr>
          <w:sz w:val="20"/>
          <w:szCs w:val="20"/>
          <w:color w:val="auto"/>
        </w:rPr>
      </w:pPr>
    </w:p>
    <w:p>
      <w:pPr>
        <w:spacing w:after="0" w:line="231" w:lineRule="exact"/>
        <w:rPr>
          <w:sz w:val="20"/>
          <w:szCs w:val="20"/>
          <w:color w:val="auto"/>
        </w:rPr>
      </w:pPr>
    </w:p>
    <w:p>
      <w:pPr>
        <w:jc w:val="center"/>
        <w:ind w:right="-8"/>
        <w:spacing w:after="0"/>
        <w:rPr>
          <w:sz w:val="20"/>
          <w:szCs w:val="20"/>
          <w:color w:val="auto"/>
        </w:rPr>
      </w:pPr>
      <w:r>
        <w:rPr>
          <w:rFonts w:ascii="Times New Roman" w:cs="Times New Roman" w:eastAsia="Times New Roman" w:hAnsi="Times New Roman"/>
          <w:sz w:val="24"/>
          <w:szCs w:val="24"/>
          <w:b w:val="1"/>
          <w:bCs w:val="1"/>
          <w:color w:val="auto"/>
        </w:rPr>
        <w:t>С Ъ Д Ъ Р Ж А Н И Е</w:t>
      </w:r>
    </w:p>
    <w:p>
      <w:pPr>
        <w:spacing w:after="0" w:line="235" w:lineRule="exact"/>
        <w:rPr>
          <w:sz w:val="20"/>
          <w:szCs w:val="20"/>
          <w:color w:val="auto"/>
        </w:rPr>
      </w:pPr>
    </w:p>
    <w:tbl>
      <w:tblPr>
        <w:tblLayout w:type="fixed"/>
        <w:tblInd w:w="9" w:type="dxa"/>
        <w:tblCellMar>
          <w:top w:w="0" w:type="dxa"/>
          <w:left w:w="0" w:type="dxa"/>
          <w:bottom w:w="0" w:type="dxa"/>
          <w:right w:w="0" w:type="dxa"/>
        </w:tblCellMar>
      </w:tblP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ВЪВЕДЕНИЕ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1. САМОЛИЧНОСТ НА ОПЕРАТОРА. АДРЕС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2. ДЕЙНОСТИ, В РЕЗУЛТАТ НА КОИТО СЕ ГЕНЕРИРАТ МИННИ ОТПАДЪЦИ.............................................................</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w w:val="99"/>
              </w:rPr>
              <w:t>3. ХАРАКТЕРИСТИКА И КЛАСИФИКАЦИЯ НА МИННИТЕ ОТПАДЪЦИ. ПРОГНОЗНО КОЛИЧЕСТВО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6</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3.1</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Обща информация за находище „Глория“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3.1.1</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Геологопроучвателна дейност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Прилагани добивни технологии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3.1.3</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Прилагани преработвателни технологии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r>
      <w:tr>
        <w:trPr>
          <w:trHeight w:val="228"/>
        </w:trPr>
        <w:tc>
          <w:tcPr>
            <w:tcW w:w="820" w:type="dxa"/>
            <w:vAlign w:val="bottom"/>
            <w:gridSpan w:val="2"/>
          </w:tcPr>
          <w:p>
            <w:pPr>
              <w:jc w:val="right"/>
              <w:spacing w:after="0" w:line="228" w:lineRule="exact"/>
              <w:rPr>
                <w:sz w:val="20"/>
                <w:szCs w:val="20"/>
                <w:color w:val="auto"/>
              </w:rPr>
            </w:pPr>
            <w:r>
              <w:rPr>
                <w:rFonts w:ascii="Times New Roman" w:cs="Times New Roman" w:eastAsia="Times New Roman" w:hAnsi="Times New Roman"/>
                <w:sz w:val="20"/>
                <w:szCs w:val="20"/>
                <w:color w:val="auto"/>
              </w:rPr>
              <w:t>3.1.4</w:t>
            </w:r>
          </w:p>
        </w:tc>
        <w:tc>
          <w:tcPr>
            <w:tcW w:w="93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99"/>
              </w:rPr>
              <w:t>Изграждане на водосборници (утайници)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8</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3.1.5</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Характеристика на очакваните продукти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8</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3.2</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Геоложки данни за находище „Глория“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9</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3.2.1</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9"/>
              </w:rPr>
              <w:t>Характеристика на находището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9</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3.2.2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Идентификация на видовете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11</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3.3</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Естество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11</w:t>
            </w:r>
          </w:p>
        </w:tc>
      </w:tr>
      <w:tr>
        <w:trPr>
          <w:trHeight w:val="228"/>
        </w:trPr>
        <w:tc>
          <w:tcPr>
            <w:tcW w:w="820" w:type="dxa"/>
            <w:vAlign w:val="bottom"/>
            <w:gridSpan w:val="2"/>
          </w:tcPr>
          <w:p>
            <w:pPr>
              <w:jc w:val="right"/>
              <w:spacing w:after="0" w:line="228" w:lineRule="exact"/>
              <w:rPr>
                <w:sz w:val="20"/>
                <w:szCs w:val="20"/>
                <w:color w:val="auto"/>
              </w:rPr>
            </w:pPr>
            <w:r>
              <w:rPr>
                <w:rFonts w:ascii="Times New Roman" w:cs="Times New Roman" w:eastAsia="Times New Roman" w:hAnsi="Times New Roman"/>
                <w:sz w:val="20"/>
                <w:szCs w:val="20"/>
                <w:color w:val="auto"/>
              </w:rPr>
              <w:t>3.3.1</w:t>
            </w:r>
          </w:p>
        </w:tc>
        <w:tc>
          <w:tcPr>
            <w:tcW w:w="93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Произход на отпадъците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11</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3.3.2</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Количество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3.3.3</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Система за транспортиране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3.3.4</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Методи за депониране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3.3.5</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Описание на химичните вещества и смеси, използвани при преработката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8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3.3.6</w:t>
            </w:r>
          </w:p>
        </w:tc>
        <w:tc>
          <w:tcPr>
            <w:tcW w:w="93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Код и наименование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12</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rPr>
              <w:t>3.3.7 Тип на съоръжението, в което ще се депонират минните отпадъци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12</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3.4</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Геотехническо поведение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3.5</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Геохимични характеристики и поведение на минните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w w:val="99"/>
              </w:rPr>
              <w:t>4. ВИД И КАТЕГОРИЯ НА СЪОРЖЕНИЕТО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4.1</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w w:val="99"/>
              </w:rPr>
              <w:t>Местоположение на съоръженията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13</w:t>
            </w:r>
          </w:p>
        </w:tc>
      </w:tr>
      <w:tr>
        <w:trPr>
          <w:trHeight w:val="228"/>
        </w:trPr>
        <w:tc>
          <w:tcPr>
            <w:tcW w:w="10140" w:type="dxa"/>
            <w:vAlign w:val="bottom"/>
            <w:gridSpan w:val="3"/>
          </w:tcPr>
          <w:p>
            <w:pPr>
              <w:jc w:val="right"/>
              <w:spacing w:after="0" w:line="228" w:lineRule="exact"/>
              <w:rPr>
                <w:sz w:val="20"/>
                <w:szCs w:val="20"/>
                <w:color w:val="auto"/>
              </w:rPr>
            </w:pPr>
            <w:r>
              <w:rPr>
                <w:rFonts w:ascii="Times New Roman" w:cs="Times New Roman" w:eastAsia="Times New Roman" w:hAnsi="Times New Roman"/>
                <w:sz w:val="20"/>
                <w:szCs w:val="20"/>
                <w:color w:val="auto"/>
              </w:rPr>
              <w:t>4.2. Състояние на земната повърхност, засегната от СМО ...................................................................................................</w:t>
            </w:r>
          </w:p>
        </w:tc>
        <w:tc>
          <w:tcPr>
            <w:tcW w:w="2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89"/>
              </w:rPr>
              <w:t>13</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4.3</w:t>
            </w:r>
          </w:p>
        </w:tc>
        <w:tc>
          <w:tcPr>
            <w:tcW w:w="9680" w:type="dxa"/>
            <w:vAlign w:val="bottom"/>
            <w:gridSpan w:val="2"/>
          </w:tcPr>
          <w:p>
            <w:pPr>
              <w:jc w:val="right"/>
              <w:ind w:right="160"/>
              <w:spacing w:after="0"/>
              <w:rPr>
                <w:sz w:val="20"/>
                <w:szCs w:val="20"/>
                <w:color w:val="auto"/>
              </w:rPr>
            </w:pPr>
            <w:r>
              <w:rPr>
                <w:rFonts w:ascii="Times New Roman" w:cs="Times New Roman" w:eastAsia="Times New Roman" w:hAnsi="Times New Roman"/>
                <w:sz w:val="20"/>
                <w:szCs w:val="20"/>
                <w:color w:val="auto"/>
              </w:rPr>
              <w:t>Наличие на подземни и надземни комуникации, водни обекти, санитарно-охранителни зони, сгради и други в</w:t>
            </w:r>
          </w:p>
        </w:tc>
        <w:tc>
          <w:tcPr>
            <w:tcW w:w="200" w:type="dxa"/>
            <w:vAlign w:val="bottom"/>
          </w:tcPr>
          <w:p>
            <w:pPr>
              <w:spacing w:after="0"/>
              <w:rPr>
                <w:sz w:val="20"/>
                <w:szCs w:val="20"/>
                <w:color w:val="auto"/>
              </w:rPr>
            </w:pPr>
          </w:p>
        </w:tc>
      </w:tr>
      <w:tr>
        <w:trPr>
          <w:trHeight w:val="230"/>
        </w:trPr>
        <w:tc>
          <w:tcPr>
            <w:tcW w:w="10140" w:type="dxa"/>
            <w:vAlign w:val="bottom"/>
            <w:gridSpan w:val="3"/>
          </w:tcPr>
          <w:p>
            <w:pPr>
              <w:jc w:val="right"/>
              <w:spacing w:after="0"/>
              <w:rPr>
                <w:sz w:val="20"/>
                <w:szCs w:val="20"/>
                <w:color w:val="auto"/>
              </w:rPr>
            </w:pPr>
            <w:r>
              <w:rPr>
                <w:rFonts w:ascii="Times New Roman" w:cs="Times New Roman" w:eastAsia="Times New Roman" w:hAnsi="Times New Roman"/>
                <w:sz w:val="20"/>
                <w:szCs w:val="20"/>
                <w:color w:val="auto"/>
              </w:rPr>
              <w:t>района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4.4</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Защитени територии и защитени зони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r>
        <w:trPr>
          <w:trHeight w:val="230"/>
        </w:trPr>
        <w:tc>
          <w:tcPr>
            <w:tcW w:w="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4.5</w:t>
            </w:r>
          </w:p>
        </w:tc>
        <w:tc>
          <w:tcPr>
            <w:tcW w:w="968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Вид и категория на съоръжението за минни отпадъци ...................................................................................................</w:t>
            </w:r>
          </w:p>
        </w:tc>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89"/>
              </w:rPr>
              <w:t>15</w:t>
            </w:r>
          </w:p>
        </w:tc>
      </w:tr>
    </w:tbl>
    <w:p>
      <w:pPr>
        <w:ind w:left="209" w:hanging="209"/>
        <w:spacing w:after="0"/>
        <w:tabs>
          <w:tab w:leader="none" w:pos="209" w:val="left"/>
        </w:tabs>
        <w:numPr>
          <w:ilvl w:val="0"/>
          <w:numId w:val="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РИСКОВЕ ЗА ОКОЛНАТА СРЕДА И ЗА БЕЗОПАСНОСТТА И ЗДРАВЕТО НА ЧОВЕКА И МЕРКИ ЗА</w:t>
      </w:r>
    </w:p>
    <w:p>
      <w:pPr>
        <w:ind w:left="9"/>
        <w:spacing w:after="0" w:line="238" w:lineRule="auto"/>
        <w:tabs>
          <w:tab w:leader="dot" w:pos="10128" w:val="left"/>
        </w:tabs>
        <w:rPr>
          <w:sz w:val="20"/>
          <w:szCs w:val="20"/>
          <w:color w:val="auto"/>
        </w:rPr>
      </w:pPr>
      <w:r>
        <w:rPr>
          <w:rFonts w:ascii="Times New Roman" w:cs="Times New Roman" w:eastAsia="Times New Roman" w:hAnsi="Times New Roman"/>
          <w:sz w:val="20"/>
          <w:szCs w:val="20"/>
          <w:color w:val="auto"/>
        </w:rPr>
        <w:t>ПРЕДОТВРАТЯВАНЕТО ИМ</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5.1 Местоположение на СМО</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5.2. Физическа стабилност на СМО</w:t>
      </w:r>
      <w:r>
        <w:rPr>
          <w:sz w:val="20"/>
          <w:szCs w:val="20"/>
          <w:color w:val="auto"/>
        </w:rPr>
        <w:tab/>
      </w:r>
      <w:r>
        <w:rPr>
          <w:rFonts w:ascii="Times New Roman" w:cs="Times New Roman" w:eastAsia="Times New Roman" w:hAnsi="Times New Roman"/>
          <w:sz w:val="20"/>
          <w:szCs w:val="20"/>
          <w:color w:val="auto"/>
        </w:rPr>
        <w:t>16</w:t>
      </w:r>
    </w:p>
    <w:p>
      <w:pPr>
        <w:ind w:left="209"/>
        <w:spacing w:after="0"/>
        <w:tabs>
          <w:tab w:leader="dot" w:pos="10128" w:val="left"/>
        </w:tabs>
        <w:rPr>
          <w:sz w:val="20"/>
          <w:szCs w:val="20"/>
          <w:color w:val="auto"/>
        </w:rPr>
      </w:pPr>
      <w:r>
        <w:rPr>
          <w:rFonts w:ascii="Times New Roman" w:cs="Times New Roman" w:eastAsia="Times New Roman" w:hAnsi="Times New Roman"/>
          <w:sz w:val="20"/>
          <w:szCs w:val="20"/>
          <w:color w:val="auto"/>
        </w:rPr>
        <w:t>5.3. Опазване на почвата, въздуха и водите от замърсяване</w:t>
      </w:r>
      <w:r>
        <w:rPr>
          <w:sz w:val="20"/>
          <w:szCs w:val="20"/>
          <w:color w:val="auto"/>
        </w:rPr>
        <w:tab/>
      </w:r>
      <w:r>
        <w:rPr>
          <w:rFonts w:ascii="Times New Roman" w:cs="Times New Roman" w:eastAsia="Times New Roman" w:hAnsi="Times New Roman"/>
          <w:sz w:val="20"/>
          <w:szCs w:val="20"/>
          <w:color w:val="auto"/>
        </w:rPr>
        <w:t>16</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5.3.1 Почви</w:t>
      </w:r>
      <w:r>
        <w:rPr>
          <w:sz w:val="20"/>
          <w:szCs w:val="20"/>
          <w:color w:val="auto"/>
        </w:rPr>
        <w:tab/>
      </w:r>
      <w:r>
        <w:rPr>
          <w:rFonts w:ascii="Times New Roman" w:cs="Times New Roman" w:eastAsia="Times New Roman" w:hAnsi="Times New Roman"/>
          <w:sz w:val="20"/>
          <w:szCs w:val="20"/>
          <w:color w:val="auto"/>
        </w:rPr>
        <w:t>16</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5.3.2. Въздух</w:t>
      </w:r>
      <w:r>
        <w:rPr>
          <w:sz w:val="20"/>
          <w:szCs w:val="20"/>
          <w:color w:val="auto"/>
        </w:rPr>
        <w:tab/>
      </w:r>
      <w:r>
        <w:rPr>
          <w:rFonts w:ascii="Times New Roman" w:cs="Times New Roman" w:eastAsia="Times New Roman" w:hAnsi="Times New Roman"/>
          <w:sz w:val="20"/>
          <w:szCs w:val="20"/>
          <w:color w:val="auto"/>
        </w:rPr>
        <w:t>17</w:t>
      </w:r>
    </w:p>
    <w:p>
      <w:pPr>
        <w:ind w:left="409"/>
        <w:spacing w:after="0" w:line="238" w:lineRule="auto"/>
        <w:tabs>
          <w:tab w:leader="dot" w:pos="10128" w:val="left"/>
        </w:tabs>
        <w:rPr>
          <w:sz w:val="20"/>
          <w:szCs w:val="20"/>
          <w:color w:val="auto"/>
        </w:rPr>
      </w:pPr>
      <w:r>
        <w:rPr>
          <w:rFonts w:ascii="Times New Roman" w:cs="Times New Roman" w:eastAsia="Times New Roman" w:hAnsi="Times New Roman"/>
          <w:sz w:val="20"/>
          <w:szCs w:val="20"/>
          <w:color w:val="auto"/>
        </w:rPr>
        <w:t>5.3.3 Води</w:t>
      </w:r>
      <w:r>
        <w:rPr>
          <w:sz w:val="20"/>
          <w:szCs w:val="20"/>
          <w:color w:val="auto"/>
        </w:rPr>
        <w:tab/>
      </w:r>
      <w:r>
        <w:rPr>
          <w:rFonts w:ascii="Times New Roman" w:cs="Times New Roman" w:eastAsia="Times New Roman" w:hAnsi="Times New Roman"/>
          <w:sz w:val="20"/>
          <w:szCs w:val="20"/>
          <w:color w:val="auto"/>
        </w:rPr>
        <w:t>17</w:t>
      </w:r>
    </w:p>
    <w:p>
      <w:pPr>
        <w:ind w:left="409"/>
        <w:spacing w:after="0"/>
        <w:tabs>
          <w:tab w:leader="dot" w:pos="10128" w:val="left"/>
        </w:tabs>
        <w:rPr>
          <w:sz w:val="20"/>
          <w:szCs w:val="20"/>
          <w:color w:val="auto"/>
        </w:rPr>
      </w:pPr>
      <w:r>
        <w:rPr>
          <w:rFonts w:ascii="Times New Roman" w:cs="Times New Roman" w:eastAsia="Times New Roman" w:hAnsi="Times New Roman"/>
          <w:sz w:val="20"/>
          <w:szCs w:val="20"/>
          <w:color w:val="auto"/>
        </w:rPr>
        <w:t>5.3.4. Ландшафт</w:t>
      </w:r>
      <w:r>
        <w:rPr>
          <w:sz w:val="20"/>
          <w:szCs w:val="20"/>
          <w:color w:val="auto"/>
        </w:rPr>
        <w:tab/>
      </w:r>
      <w:r>
        <w:rPr>
          <w:rFonts w:ascii="Times New Roman" w:cs="Times New Roman" w:eastAsia="Times New Roman" w:hAnsi="Times New Roman"/>
          <w:sz w:val="20"/>
          <w:szCs w:val="20"/>
          <w:color w:val="auto"/>
        </w:rPr>
        <w:t>18</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6. ПЛАНИРАНЕ НА МЕРКИ ЗА НЕДОПУСКАНЕ НА АВАРИИ И ПРЕДОТВРАТЯВАНЕ НА РИСКОВЕТЕ</w:t>
      </w:r>
      <w:r>
        <w:rPr>
          <w:sz w:val="20"/>
          <w:szCs w:val="20"/>
          <w:color w:val="auto"/>
        </w:rPr>
        <w:tab/>
      </w:r>
      <w:r>
        <w:rPr>
          <w:rFonts w:ascii="Times New Roman" w:cs="Times New Roman" w:eastAsia="Times New Roman" w:hAnsi="Times New Roman"/>
          <w:sz w:val="20"/>
          <w:szCs w:val="20"/>
          <w:color w:val="auto"/>
        </w:rPr>
        <w:t>18</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7. КОНТРОЛНИ И МОНИТОРИНГОВИ ПРОЦЕДУРИ</w:t>
      </w:r>
      <w:r>
        <w:rPr>
          <w:sz w:val="20"/>
          <w:szCs w:val="20"/>
          <w:color w:val="auto"/>
        </w:rPr>
        <w:tab/>
      </w:r>
      <w:r>
        <w:rPr>
          <w:rFonts w:ascii="Times New Roman" w:cs="Times New Roman" w:eastAsia="Times New Roman" w:hAnsi="Times New Roman"/>
          <w:sz w:val="20"/>
          <w:szCs w:val="20"/>
          <w:color w:val="auto"/>
        </w:rPr>
        <w:t>19</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8. ЗАКРИВАНЕ И РЕКУЛТИВАЦИЯ НА СЪОРЪЖЕНИЕТО ЗА МИННИ ОТПАДЪЦИ</w:t>
      </w:r>
      <w:r>
        <w:rPr>
          <w:sz w:val="20"/>
          <w:szCs w:val="20"/>
          <w:color w:val="auto"/>
        </w:rPr>
        <w:tab/>
      </w:r>
      <w:r>
        <w:rPr>
          <w:rFonts w:ascii="Times New Roman" w:cs="Times New Roman" w:eastAsia="Times New Roman" w:hAnsi="Times New Roman"/>
          <w:sz w:val="20"/>
          <w:szCs w:val="20"/>
          <w:color w:val="auto"/>
        </w:rPr>
        <w:t>19</w:t>
      </w:r>
    </w:p>
    <w:p>
      <w:pPr>
        <w:ind w:left="209" w:hanging="209"/>
        <w:spacing w:after="0"/>
        <w:tabs>
          <w:tab w:leader="none" w:pos="209" w:val="left"/>
        </w:tabs>
        <w:numPr>
          <w:ilvl w:val="0"/>
          <w:numId w:val="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ДОКУМЕНТИ, ДОКАЗВАЩИ КВАЛИФИКАЦИЯТА, ТЕХНИЧЕСКИТЕ УМЕНИЯ И СПОСОБНОСТТА НА</w:t>
      </w:r>
    </w:p>
    <w:p>
      <w:pPr>
        <w:ind w:left="9"/>
        <w:spacing w:after="0"/>
        <w:tabs>
          <w:tab w:leader="dot" w:pos="10128" w:val="left"/>
        </w:tabs>
        <w:rPr>
          <w:sz w:val="20"/>
          <w:szCs w:val="20"/>
          <w:color w:val="auto"/>
        </w:rPr>
      </w:pPr>
      <w:r>
        <w:rPr>
          <w:rFonts w:ascii="Times New Roman" w:cs="Times New Roman" w:eastAsia="Times New Roman" w:hAnsi="Times New Roman"/>
          <w:sz w:val="20"/>
          <w:szCs w:val="20"/>
          <w:color w:val="auto"/>
        </w:rPr>
        <w:t>ОПЕРАТОРА ДА ПОСТИГНЕ ЦЕЛИТЕ НА ПЛАНА ЗА УПРАВЛЕНИЕ НА МИННИТЕ ОТПАДЪЦИ</w:t>
      </w:r>
      <w:r>
        <w:rPr>
          <w:sz w:val="20"/>
          <w:szCs w:val="20"/>
          <w:color w:val="auto"/>
        </w:rPr>
        <w:tab/>
      </w:r>
      <w:r>
        <w:rPr>
          <w:rFonts w:ascii="Times New Roman" w:cs="Times New Roman" w:eastAsia="Times New Roman" w:hAnsi="Times New Roman"/>
          <w:sz w:val="20"/>
          <w:szCs w:val="20"/>
          <w:color w:val="auto"/>
        </w:rPr>
        <w:t>20</w:t>
      </w:r>
    </w:p>
    <w:p>
      <w:pPr>
        <w:spacing w:after="0" w:line="200" w:lineRule="exact"/>
        <w:rPr>
          <w:sz w:val="20"/>
          <w:szCs w:val="20"/>
          <w:color w:val="auto"/>
        </w:rPr>
      </w:pPr>
    </w:p>
    <w:p>
      <w:pPr>
        <w:spacing w:after="0" w:line="328" w:lineRule="exact"/>
        <w:rPr>
          <w:sz w:val="20"/>
          <w:szCs w:val="20"/>
          <w:color w:val="auto"/>
        </w:rPr>
      </w:pPr>
    </w:p>
    <w:p>
      <w:pPr>
        <w:ind w:left="9"/>
        <w:spacing w:after="0"/>
        <w:tabs>
          <w:tab w:leader="none" w:pos="1868" w:val="left"/>
        </w:tabs>
        <w:rPr>
          <w:sz w:val="20"/>
          <w:szCs w:val="20"/>
          <w:color w:val="auto"/>
        </w:rPr>
      </w:pPr>
      <w:r>
        <w:rPr>
          <w:rFonts w:ascii="Times New Roman" w:cs="Times New Roman" w:eastAsia="Times New Roman" w:hAnsi="Times New Roman"/>
          <w:sz w:val="24"/>
          <w:szCs w:val="24"/>
          <w:b w:val="1"/>
          <w:bCs w:val="1"/>
          <w:color w:val="auto"/>
        </w:rPr>
        <w:t>Приложение 1</w:t>
      </w:r>
      <w:r>
        <w:rPr>
          <w:sz w:val="20"/>
          <w:szCs w:val="20"/>
          <w:color w:val="auto"/>
        </w:rPr>
        <w:tab/>
      </w:r>
      <w:r>
        <w:rPr>
          <w:rFonts w:ascii="Times New Roman" w:cs="Times New Roman" w:eastAsia="Times New Roman" w:hAnsi="Times New Roman"/>
          <w:sz w:val="20"/>
          <w:szCs w:val="20"/>
          <w:color w:val="auto"/>
        </w:rPr>
        <w:t>Топографска  карта  на  концесионна  площ  „Глория”  с  разположение  на  логистичните</w:t>
      </w:r>
    </w:p>
    <w:p>
      <w:pPr>
        <w:ind w:left="1889"/>
        <w:spacing w:after="0"/>
        <w:rPr>
          <w:sz w:val="20"/>
          <w:szCs w:val="20"/>
          <w:color w:val="auto"/>
        </w:rPr>
      </w:pPr>
      <w:r>
        <w:rPr>
          <w:rFonts w:ascii="Times New Roman" w:cs="Times New Roman" w:eastAsia="Times New Roman" w:hAnsi="Times New Roman"/>
          <w:sz w:val="20"/>
          <w:szCs w:val="20"/>
          <w:color w:val="auto"/>
        </w:rPr>
        <w:t>елементи, необходими за добива от находище „Глория” в М 1:6000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130175</wp:posOffset>
                </wp:positionV>
                <wp:extent cx="6721475"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0.25pt" to="523.4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337820</wp:posOffset>
                </wp:positionV>
                <wp:extent cx="6721475"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26.6pt" to="523.4pt,2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127000</wp:posOffset>
                </wp:positionV>
                <wp:extent cx="0" cy="21336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pt" to="-5.5999pt,26.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127000</wp:posOffset>
                </wp:positionV>
                <wp:extent cx="0" cy="2133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pt" to="523.2pt,26.8pt" o:allowincell="f" strokecolor="#000000" strokeweight="0.4809pt"/>
            </w:pict>
          </mc:Fallback>
        </mc:AlternateContent>
      </w:r>
    </w:p>
    <w:p>
      <w:pPr>
        <w:spacing w:after="0" w:line="187"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color w:val="auto"/>
        </w:rPr>
        <w:t>ВЪВЕДЕНИЕ</w:t>
      </w:r>
    </w:p>
    <w:p>
      <w:pPr>
        <w:spacing w:after="0" w:line="149"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Настоящото предложение за управление на минните отпадъци, явяващи се техногенен остатък от реализирането на добива на подземни богатства – индустриални минерали – глауконитови пясъчници е разработен съгласно изискванията на чл. 22 г, ал. 4 от Закона за подземните богатства</w:t>
      </w:r>
    </w:p>
    <w:p>
      <w:pPr>
        <w:ind w:left="189" w:hanging="189"/>
        <w:spacing w:after="0"/>
        <w:tabs>
          <w:tab w:leader="none" w:pos="189"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Наредба за управление на минните отпадъци, 2009 г. (Обн. ДВ. бр.5 от 19 Януари 2016 г.).</w:t>
      </w:r>
    </w:p>
    <w:p>
      <w:pPr>
        <w:jc w:val="both"/>
        <w:ind w:left="9" w:firstLine="558"/>
        <w:spacing w:after="0"/>
        <w:tabs>
          <w:tab w:leader="none" w:pos="834" w:val="left"/>
        </w:tabs>
        <w:numPr>
          <w:ilvl w:val="1"/>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резултат на проведените комплексни търсещо-оценъчни и детайлни геологопроучвателни работи в обсега на площ „Глория” е установено и детайлно проучено ново находище на нерудни полезни изкопаеми – индустриален тип минерална суровина (глауконитови пясъчници), изходен продукт за производство на естествени минерални торове за селското стопанство, наречено „ГЛОРИЯ”.</w:t>
      </w:r>
    </w:p>
    <w:p>
      <w:pPr>
        <w:jc w:val="both"/>
        <w:ind w:left="9" w:firstLine="558"/>
        <w:spacing w:after="0"/>
        <w:tabs>
          <w:tab w:leader="none" w:pos="892" w:val="left"/>
        </w:tabs>
        <w:numPr>
          <w:ilvl w:val="1"/>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настоящото предложение за управление на минните отпадъци е определен вида на съоръженията за депонирането им, описана е дейността по осъществяване на добива от открито находище „ГЛОРИЯ”, както и дейността пораждаща минни отпадъци, възможните рискове за околната среда и мерки за предотвратяването им, включително превантивни мерки за предотвратяване на замърсяването на елементите на околната среда; предложени са процедури за контрол и мониторинг, план за закриване на съоръжението и мерки за предотвратяване на големи аварии и авариен план.</w:t>
      </w:r>
    </w:p>
    <w:p>
      <w:pPr>
        <w:jc w:val="both"/>
        <w:ind w:left="9" w:firstLine="566"/>
        <w:spacing w:after="0" w:line="25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Съгласно ЗПБ под „управление на минните отпадъци” се разбира „дейностите по транспортиране, депониране и съхраняване на минните отпадъци, както и изграждането, експлоатацията и закриването на съоръженията за минни отпадъци, и осъществяването на последващ мониторинг, поддръжка и технически надзор на закритото съоръжение”.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142240</wp:posOffset>
                </wp:positionV>
                <wp:extent cx="672147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1.2pt" to="523.4pt,11.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524510</wp:posOffset>
                </wp:positionV>
                <wp:extent cx="672147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41.3pt" to="523.4pt,41.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139065</wp:posOffset>
                </wp:positionV>
                <wp:extent cx="0" cy="38862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95pt" to="-5.5999pt,41.5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139065</wp:posOffset>
                </wp:positionV>
                <wp:extent cx="0" cy="38862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95pt" to="523.2pt,41.55pt" o:allowincell="f" strokecolor="#000000" strokeweight="0.4809pt"/>
            </w:pict>
          </mc:Fallback>
        </mc:AlternateContent>
      </w:r>
    </w:p>
    <w:p>
      <w:pPr>
        <w:spacing w:after="0" w:line="206" w:lineRule="exact"/>
        <w:rPr>
          <w:sz w:val="20"/>
          <w:szCs w:val="20"/>
          <w:color w:val="auto"/>
        </w:rPr>
      </w:pPr>
    </w:p>
    <w:p>
      <w:pPr>
        <w:ind w:left="9" w:firstLine="558"/>
        <w:spacing w:after="0" w:line="278" w:lineRule="auto"/>
        <w:tabs>
          <w:tab w:leader="none" w:pos="887" w:val="left"/>
        </w:tabs>
        <w:numPr>
          <w:ilvl w:val="0"/>
          <w:numId w:val="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САМОЛИЧНОСТ НА ОПЕРАТОРА. АДРЕС НА СЪОРЪЖЕНИЕТО ЗА МИННИ ОТПАДЪЦИ</w:t>
      </w:r>
    </w:p>
    <w:p>
      <w:pPr>
        <w:spacing w:after="0" w:line="6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Находището е проучено от фирма „БН-КОНСУЛТ-ИНЖЕНИРИНГ” ООД във връзка с получено Разрешение №157/30.11.2011 г. на МИЕТ, сключен Договор от 18.04.2012 г. между “РБГ-КОНСУЛТ ИНЖЕНЕРИНГ”АД, гр. София и Министерството на икономиката, енергетиката и туризма и допълнително споразумение № 1 от 26.05.2014 г. между МИЕ, “РБГ-КОНСУЛТ ИНЖЕНЕРИНГ”АД и „БН-КОНСУЛТ-ИНЖЕНИРИНГ” ООД за прехвърляне изцяло правата и задълженията по договор за търсене и проучване в площ „Глория” на фирма „БН-КОНСУЛТ-ИНЖЕНИРИНГ” ООД.</w:t>
      </w:r>
    </w:p>
    <w:p>
      <w:pPr>
        <w:ind w:left="569"/>
        <w:spacing w:after="0"/>
        <w:rPr>
          <w:sz w:val="20"/>
          <w:szCs w:val="20"/>
          <w:color w:val="auto"/>
        </w:rPr>
      </w:pPr>
      <w:r>
        <w:rPr>
          <w:rFonts w:ascii="Times New Roman" w:cs="Times New Roman" w:eastAsia="Times New Roman" w:hAnsi="Times New Roman"/>
          <w:sz w:val="24"/>
          <w:szCs w:val="24"/>
          <w:color w:val="auto"/>
        </w:rPr>
        <w:t>Дружеството „БН – КОНСУЛТ ИНЖЕНИРИНГ“ ООД e със седалище и адрес на управление:</w:t>
      </w:r>
    </w:p>
    <w:p>
      <w:pPr>
        <w:ind w:left="9"/>
        <w:spacing w:after="0"/>
        <w:rPr>
          <w:sz w:val="20"/>
          <w:szCs w:val="20"/>
          <w:color w:val="auto"/>
        </w:rPr>
      </w:pPr>
      <w:r>
        <w:rPr>
          <w:rFonts w:ascii="Times New Roman" w:cs="Times New Roman" w:eastAsia="Times New Roman" w:hAnsi="Times New Roman"/>
          <w:sz w:val="24"/>
          <w:szCs w:val="24"/>
          <w:color w:val="auto"/>
        </w:rPr>
        <w:t>гр. София, кв. Павлово, ул. „Народен певец“ № 10. ЕИК: 130127887</w:t>
      </w:r>
    </w:p>
    <w:p>
      <w:pPr>
        <w:ind w:left="569"/>
        <w:spacing w:after="0"/>
        <w:rPr>
          <w:sz w:val="20"/>
          <w:szCs w:val="20"/>
          <w:color w:val="auto"/>
        </w:rPr>
      </w:pPr>
      <w:r>
        <w:rPr>
          <w:rFonts w:ascii="Times New Roman" w:cs="Times New Roman" w:eastAsia="Times New Roman" w:hAnsi="Times New Roman"/>
          <w:sz w:val="24"/>
          <w:szCs w:val="24"/>
          <w:color w:val="auto"/>
        </w:rPr>
        <w:t>Управител на Дружеството: д-р инж. Никола Вардев.</w:t>
      </w:r>
    </w:p>
    <w:p>
      <w:pPr>
        <w:ind w:left="569"/>
        <w:spacing w:after="0"/>
        <w:rPr>
          <w:sz w:val="20"/>
          <w:szCs w:val="20"/>
          <w:color w:val="auto"/>
        </w:rPr>
      </w:pPr>
      <w:r>
        <w:rPr>
          <w:rFonts w:ascii="Times New Roman" w:cs="Times New Roman" w:eastAsia="Times New Roman" w:hAnsi="Times New Roman"/>
          <w:sz w:val="24"/>
          <w:szCs w:val="24"/>
          <w:color w:val="auto"/>
        </w:rPr>
        <w:t>Основен предмет на дейност: изследователска, проектантска, конструкторска, инженерингова</w:t>
      </w:r>
    </w:p>
    <w:p>
      <w:pPr>
        <w:ind w:left="9" w:hanging="9"/>
        <w:spacing w:after="0"/>
        <w:tabs>
          <w:tab w:leader="none" w:pos="246" w:val="left"/>
        </w:tabs>
        <w:numPr>
          <w:ilvl w:val="0"/>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сервизна дейност в областта на: геологията, геофизиката, екологията, търсенето, проучването, добива и първичната преработка на полезни изкопаеми.</w:t>
      </w:r>
    </w:p>
    <w:p>
      <w:pPr>
        <w:jc w:val="both"/>
        <w:ind w:left="9" w:firstLine="558"/>
        <w:spacing w:after="0" w:line="245" w:lineRule="auto"/>
        <w:tabs>
          <w:tab w:leader="none" w:pos="818" w:val="left"/>
        </w:tabs>
        <w:numPr>
          <w:ilvl w:val="1"/>
          <w:numId w:val="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административно отношение находище „ГЛОРИЯ” е разположено в землищата на с. Мало Пещене и с. Голямо Пещене, общ. Враца, обл. Враца и отстои на 26 km СИ от гр. Враца, на 58 km ЮЗ от пристанище Оряхово и р. Дунав и на 134 km СИ от гр. София. Находището е разположено югоизточно от с. Мало Пещене и на около 2 km СИ от с. Голямо Пещене. До с. Мало Пещене и съответно до находището се стига по асфалтов път от националната пътна мрежа (второкласен път 15), свързващ гр. Враца с пристанище Оряхово. Отклонението от този асфалтов път при с. Баница, до село Мало Пещене е 5,3 km. Юг-югозападно от площта преминава р. Скът, приток на р. Огоста.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11430</wp:posOffset>
            </wp:positionV>
            <wp:extent cx="6553200" cy="67697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extLst>
                    </a:blip>
                    <a:srcRect/>
                    <a:stretch>
                      <a:fillRect/>
                    </a:stretch>
                  </pic:blipFill>
                  <pic:spPr bwMode="auto">
                    <a:xfrm>
                      <a:off x="0" y="0"/>
                      <a:ext cx="6553200" cy="6769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color w:val="auto"/>
        </w:rPr>
        <w:t xml:space="preserve">Фиг. 1. </w:t>
      </w:r>
      <w:r>
        <w:rPr>
          <w:rFonts w:ascii="Times New Roman" w:cs="Times New Roman" w:eastAsia="Times New Roman" w:hAnsi="Times New Roman"/>
          <w:sz w:val="24"/>
          <w:szCs w:val="24"/>
          <w:color w:val="auto"/>
        </w:rPr>
        <w:t>Обзорна карта,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отразяваща местоположението на концесионна площ</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11430</wp:posOffset>
            </wp:positionV>
            <wp:extent cx="6724015" cy="45396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extLst>
                    </a:blip>
                    <a:srcRect/>
                    <a:stretch>
                      <a:fillRect/>
                    </a:stretch>
                  </pic:blipFill>
                  <pic:spPr bwMode="auto">
                    <a:xfrm>
                      <a:off x="0" y="0"/>
                      <a:ext cx="6724015" cy="4539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both"/>
        <w:ind w:firstLine="566"/>
        <w:spacing w:after="0" w:line="276" w:lineRule="auto"/>
        <w:rPr>
          <w:sz w:val="20"/>
          <w:szCs w:val="20"/>
          <w:color w:val="auto"/>
        </w:rPr>
      </w:pPr>
      <w:r>
        <w:rPr>
          <w:rFonts w:ascii="Times New Roman" w:cs="Times New Roman" w:eastAsia="Times New Roman" w:hAnsi="Times New Roman"/>
          <w:sz w:val="24"/>
          <w:szCs w:val="24"/>
          <w:b w:val="1"/>
          <w:bCs w:val="1"/>
          <w:color w:val="auto"/>
        </w:rPr>
        <w:t xml:space="preserve">Фиг. 2. </w:t>
      </w:r>
      <w:r>
        <w:rPr>
          <w:rFonts w:ascii="Times New Roman" w:cs="Times New Roman" w:eastAsia="Times New Roman" w:hAnsi="Times New Roman"/>
          <w:sz w:val="24"/>
          <w:szCs w:val="24"/>
          <w:color w:val="auto"/>
        </w:rPr>
        <w:t>Топографска карта в М</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1:30 000</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 разположението на находище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концесионна площ „ГЛОРИЯ”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121920</wp:posOffset>
                </wp:positionV>
                <wp:extent cx="6722110" cy="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9.6pt" to="523pt,9.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328930</wp:posOffset>
                </wp:positionV>
                <wp:extent cx="672211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5.9pt" to="523pt,25.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118745</wp:posOffset>
                </wp:positionV>
                <wp:extent cx="0" cy="21336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9.35pt" to="-6.0499pt,26.1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118745</wp:posOffset>
                </wp:positionV>
                <wp:extent cx="0" cy="21336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9.35pt" to="522.75pt,26.15pt" o:allowincell="f" strokecolor="#000000" strokeweight="0.4809pt"/>
            </w:pict>
          </mc:Fallback>
        </mc:AlternateContent>
      </w:r>
    </w:p>
    <w:p>
      <w:pPr>
        <w:spacing w:after="0" w:line="173" w:lineRule="exact"/>
        <w:rPr>
          <w:sz w:val="20"/>
          <w:szCs w:val="20"/>
          <w:color w:val="auto"/>
        </w:rPr>
      </w:pPr>
    </w:p>
    <w:p>
      <w:pPr>
        <w:ind w:left="800" w:hanging="242"/>
        <w:spacing w:after="0"/>
        <w:tabs>
          <w:tab w:leader="none" w:pos="800" w:val="left"/>
        </w:tabs>
        <w:numPr>
          <w:ilvl w:val="0"/>
          <w:numId w:val="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ДЕЙНОСТИ, В РЕЗУЛТАТ НА КОИТО СЕ ГЕНЕРИРАТ МИННИ ОТПАДЪЦИ</w:t>
      </w:r>
    </w:p>
    <w:p>
      <w:pPr>
        <w:spacing w:after="0" w:line="149"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Съгласно технологичната схема на добив на глауконитови пясъчници от находище “Глория” минни отпадъци се генерират при извършване на разкривни работи.</w:t>
      </w:r>
    </w:p>
    <w:p>
      <w:pPr>
        <w:jc w:val="both"/>
        <w:ind w:firstLine="566"/>
        <w:spacing w:after="0"/>
        <w:rPr>
          <w:sz w:val="20"/>
          <w:szCs w:val="20"/>
          <w:color w:val="auto"/>
        </w:rPr>
      </w:pPr>
      <w:r>
        <w:rPr>
          <w:rFonts w:ascii="Times New Roman" w:cs="Times New Roman" w:eastAsia="Times New Roman" w:hAnsi="Times New Roman"/>
          <w:sz w:val="24"/>
          <w:szCs w:val="24"/>
          <w:color w:val="auto"/>
        </w:rPr>
        <w:t>Според геоложките проучвания в находището разкривката е представена и се състои от почвен слой и песъчливи глини, и скална разкривка. Скалната разкривка е изветрял повърхностен слой пясъчник и е беден, с много малко съдържание и/или отсъствие на глауконит, който е икономически неизгоден за последваща преработка и сепариране.</w:t>
      </w:r>
    </w:p>
    <w:p>
      <w:pPr>
        <w:jc w:val="both"/>
        <w:ind w:firstLine="558"/>
        <w:spacing w:after="0"/>
        <w:tabs>
          <w:tab w:leader="none" w:pos="790"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част от отстранената скална откривка ще се изгради предпазен вал с височина от два метра в северозападната окрайнина на площта на доказаните запаси и по този начин ще се обезопаси кариерния котлован от повръхностни води при проливни дъждове и като цяло ще се намали нарушената площ при реализиране на добива.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с оглед удобното им използване за рекултивация на бордовете на кариерата и терена на последния експлоатационен хоризонт.</w:t>
      </w:r>
    </w:p>
    <w:p>
      <w:pPr>
        <w:jc w:val="both"/>
        <w:ind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spacing w:after="0" w:line="2" w:lineRule="exact"/>
        <w:rPr>
          <w:rFonts w:ascii="Times New Roman" w:cs="Times New Roman" w:eastAsia="Times New Roman" w:hAnsi="Times New Roman"/>
          <w:sz w:val="24"/>
          <w:szCs w:val="24"/>
          <w:color w:val="auto"/>
        </w:rPr>
      </w:pPr>
    </w:p>
    <w:p>
      <w:pPr>
        <w:jc w:val="both"/>
        <w:ind w:firstLine="566"/>
        <w:spacing w:after="0" w:line="19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Общо за 35-годишния концесионен период в рамките на доказаните запаси от находището се очаква да бъдат иззети 444026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откривни материали, от които почвен слой в обем от около 120000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и песъчливи глини в обем от 324026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1" w:lineRule="exact"/>
        <w:rPr>
          <w:rFonts w:ascii="Times New Roman" w:cs="Times New Roman" w:eastAsia="Times New Roman" w:hAnsi="Times New Roman"/>
          <w:sz w:val="24"/>
          <w:szCs w:val="24"/>
          <w:color w:val="auto"/>
        </w:rPr>
      </w:pP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Общият обем на откривката за цялото находище (запаси и ресурси)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200" w:lineRule="exact"/>
        <w:rPr>
          <w:sz w:val="20"/>
          <w:szCs w:val="20"/>
          <w:color w:val="auto"/>
        </w:rPr>
      </w:pPr>
    </w:p>
    <w:p>
      <w:pPr>
        <w:spacing w:after="0" w:line="253"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130175</wp:posOffset>
                </wp:positionV>
                <wp:extent cx="672147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0.25pt" to="523.4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513080</wp:posOffset>
                </wp:positionV>
                <wp:extent cx="672147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40.4pt" to="523.4pt,40.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127000</wp:posOffset>
                </wp:positionV>
                <wp:extent cx="0" cy="38862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10pt" to="-5.5999pt,40.6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127000</wp:posOffset>
                </wp:positionV>
                <wp:extent cx="0" cy="38862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10pt" to="523.2pt,40.6pt" o:allowincell="f" strokecolor="#000000" strokeweight="0.4809pt"/>
            </w:pict>
          </mc:Fallback>
        </mc:AlternateContent>
      </w:r>
    </w:p>
    <w:p>
      <w:pPr>
        <w:spacing w:after="0" w:line="187" w:lineRule="exact"/>
        <w:rPr>
          <w:sz w:val="20"/>
          <w:szCs w:val="20"/>
          <w:color w:val="auto"/>
        </w:rPr>
      </w:pPr>
    </w:p>
    <w:p>
      <w:pPr>
        <w:ind w:left="9" w:firstLine="558"/>
        <w:spacing w:after="0" w:line="278" w:lineRule="auto"/>
        <w:tabs>
          <w:tab w:leader="none" w:pos="1046" w:val="left"/>
        </w:tabs>
        <w:numPr>
          <w:ilvl w:val="0"/>
          <w:numId w:val="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ХАРАКТЕРИСТИКА И КЛАСИФИКАЦИЯ НА МИННИТЕ ОТПАДЪЦИ. ПРОГНОЗНО КОЛИЧЕСТВО</w:t>
      </w:r>
    </w:p>
    <w:p>
      <w:pPr>
        <w:spacing w:after="0" w:line="6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 Обща информация за находище „Глория“</w:t>
      </w:r>
    </w:p>
    <w:p>
      <w:pPr>
        <w:spacing w:after="0" w:line="12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3.1.1 Геологопроучвателна дейност</w:t>
      </w:r>
    </w:p>
    <w:p>
      <w:pPr>
        <w:spacing w:after="0" w:line="1" w:lineRule="exact"/>
        <w:rPr>
          <w:sz w:val="20"/>
          <w:szCs w:val="20"/>
          <w:color w:val="auto"/>
        </w:rPr>
      </w:pPr>
    </w:p>
    <w:p>
      <w:pPr>
        <w:jc w:val="both"/>
        <w:ind w:left="9" w:firstLine="558"/>
        <w:spacing w:after="0"/>
        <w:tabs>
          <w:tab w:leader="none" w:pos="834"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резултат на проведените комплексни търсещо-оценъчни и детайлни геологопроучвателни работи в обсега на площ „Глория” е установено и детайлно проучено ново находище на нерудни полезни изкопаеми – индустриален тип минерална суровина (глауконитови пясъчници), изходен продукт за производство на естествени минерални торове за селското стопанство.</w:t>
      </w: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Площта на контура на запасите в хоризонтална проекция възлиза на 519 032 m2 и е ограничен от 20 крайни гранични точки в координатна система „1970 г”.</w:t>
      </w:r>
    </w:p>
    <w:p>
      <w:pPr>
        <w:jc w:val="both"/>
        <w:ind w:left="9" w:firstLine="566"/>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Проектната концесионна площ, необходима за реализиране на инвестиционното предложение, възлиза на </w:t>
      </w:r>
      <w:r>
        <w:rPr>
          <w:rFonts w:ascii="Times New Roman" w:cs="Times New Roman" w:eastAsia="Times New Roman" w:hAnsi="Times New Roman"/>
          <w:sz w:val="24"/>
          <w:szCs w:val="24"/>
          <w:b w:val="1"/>
          <w:bCs w:val="1"/>
          <w:color w:val="auto"/>
        </w:rPr>
        <w:t>617 080 m</w:t>
      </w:r>
      <w:r>
        <w:rPr>
          <w:rFonts w:ascii="Times New Roman" w:cs="Times New Roman" w:eastAsia="Times New Roman" w:hAnsi="Times New Roman"/>
          <w:sz w:val="32"/>
          <w:szCs w:val="32"/>
          <w:b w:val="1"/>
          <w:bCs w:val="1"/>
          <w:color w:val="auto"/>
          <w:vertAlign w:val="superscript"/>
        </w:rPr>
        <w:t>2</w:t>
      </w:r>
      <w:r>
        <w:rPr>
          <w:rFonts w:ascii="Times New Roman" w:cs="Times New Roman" w:eastAsia="Times New Roman" w:hAnsi="Times New Roman"/>
          <w:sz w:val="24"/>
          <w:szCs w:val="24"/>
          <w:color w:val="auto"/>
        </w:rPr>
        <w:t>. Тази площ включва площта на утвърдените запаси на находище „ГЛОРИЯ”</w:t>
      </w:r>
    </w:p>
    <w:p>
      <w:pPr>
        <w:spacing w:after="0" w:line="1" w:lineRule="exact"/>
        <w:rPr>
          <w:rFonts w:ascii="Times New Roman" w:cs="Times New Roman" w:eastAsia="Times New Roman" w:hAnsi="Times New Roman"/>
          <w:sz w:val="24"/>
          <w:szCs w:val="24"/>
          <w:color w:val="auto"/>
        </w:rPr>
      </w:pPr>
    </w:p>
    <w:p>
      <w:pPr>
        <w:jc w:val="both"/>
        <w:ind w:left="9" w:hanging="9"/>
        <w:spacing w:after="0"/>
        <w:tabs>
          <w:tab w:leader="none" w:pos="258"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необходимите прилежащи площи за берми, генерален откос на кариерата, временни депа за почвен слой и откривка, административно-битова площадка, кантар, мобилна ТСИ. Концесионния контур е ограничен от 20 крайни гранични точки с координати.</w:t>
      </w:r>
    </w:p>
    <w:p>
      <w:pPr>
        <w:jc w:val="both"/>
        <w:ind w:left="9" w:firstLine="558"/>
        <w:spacing w:after="0" w:line="239" w:lineRule="auto"/>
        <w:tabs>
          <w:tab w:leader="none" w:pos="894"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геоложкия строеж на новопроученото находище „Глория” участвуват долнокредните (албски) скали на </w:t>
      </w:r>
      <w:r>
        <w:rPr>
          <w:rFonts w:ascii="Times New Roman" w:cs="Times New Roman" w:eastAsia="Times New Roman" w:hAnsi="Times New Roman"/>
          <w:sz w:val="24"/>
          <w:szCs w:val="24"/>
          <w:b w:val="1"/>
          <w:bCs w:val="1"/>
          <w:color w:val="auto"/>
        </w:rPr>
        <w:t>Малопещенската свита</w:t>
      </w:r>
      <w:r>
        <w:rPr>
          <w:rFonts w:ascii="Times New Roman" w:cs="Times New Roman" w:eastAsia="Times New Roman" w:hAnsi="Times New Roman"/>
          <w:sz w:val="24"/>
          <w:szCs w:val="24"/>
          <w:color w:val="auto"/>
        </w:rPr>
        <w:t>, представени от много характерните светлозелени и тъмнозелени до сиви глауконитови пясъчници и малка съвременна кватернерна покривка от еолично-алувиално-делувиални отложения</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 xml:space="preserve">Проучените глауконитови пясъчници </w:t>
      </w:r>
      <w:r>
        <w:rPr>
          <w:rFonts w:ascii="Times New Roman" w:cs="Times New Roman" w:eastAsia="Times New Roman" w:hAnsi="Times New Roman"/>
          <w:sz w:val="24"/>
          <w:szCs w:val="24"/>
          <w:color w:val="auto"/>
        </w:rPr>
        <w:t>в находище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„Глория”</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са с дебелина не по-малко от</w:t>
      </w:r>
    </w:p>
    <w:p>
      <w:pPr>
        <w:spacing w:after="0" w:line="4" w:lineRule="exact"/>
        <w:rPr>
          <w:rFonts w:ascii="Times New Roman" w:cs="Times New Roman" w:eastAsia="Times New Roman" w:hAnsi="Times New Roman"/>
          <w:sz w:val="24"/>
          <w:szCs w:val="24"/>
          <w:color w:val="auto"/>
        </w:rPr>
      </w:pPr>
    </w:p>
    <w:p>
      <w:pPr>
        <w:ind w:left="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40-45 m и могат да се разграничат в два хоризонта:</w:t>
      </w: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Горен</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изграден от глауконитови пясъчници с много характерен светлозелен до тревисто</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зелен цвят.</w:t>
      </w:r>
    </w:p>
    <w:p>
      <w:pPr>
        <w:ind w:left="9" w:firstLine="566"/>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 xml:space="preserve">Долен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изграден от сравнително по-плътни пластове от глауконитови пясъчници с</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тъмнозелен до сив цвят.</w:t>
      </w:r>
    </w:p>
    <w:p>
      <w:pPr>
        <w:jc w:val="both"/>
        <w:ind w:left="9" w:firstLine="566"/>
        <w:spacing w:after="0" w:line="22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Горният хоризонт (I</w:t>
      </w:r>
      <w:r>
        <w:rPr>
          <w:rFonts w:ascii="Times New Roman" w:cs="Times New Roman" w:eastAsia="Times New Roman" w:hAnsi="Times New Roman"/>
          <w:sz w:val="32"/>
          <w:szCs w:val="32"/>
          <w:b w:val="1"/>
          <w:bCs w:val="1"/>
          <w:color w:val="auto"/>
          <w:vertAlign w:val="superscript"/>
        </w:rPr>
        <w:t>-ви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е изграден от доминиращо средно и едрозърнести глауконитови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пясъчници със светлозелен до тревисто зелен цвят с глинесто-глауконитова спойка на пясъчниковия субстрат. В редица участъци сред глауконитовите пясъчници се наблюдават многобройни по-големи или по-малки фосилни фрагменти, а както и цели много добре запазени екземпляри от амонити. Дебелината на този хоризонт е около 20 m, а преходът между първи и втори хоризонт е постепенен.</w:t>
      </w:r>
    </w:p>
    <w:p>
      <w:pPr>
        <w:spacing w:after="0" w:line="1" w:lineRule="exact"/>
        <w:rPr>
          <w:rFonts w:ascii="Times New Roman" w:cs="Times New Roman" w:eastAsia="Times New Roman" w:hAnsi="Times New Roman"/>
          <w:sz w:val="24"/>
          <w:szCs w:val="24"/>
          <w:color w:val="auto"/>
        </w:rPr>
      </w:pPr>
    </w:p>
    <w:p>
      <w:pPr>
        <w:jc w:val="both"/>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Макроскопски </w:t>
      </w:r>
      <w:r>
        <w:rPr>
          <w:rFonts w:ascii="Times New Roman" w:cs="Times New Roman" w:eastAsia="Times New Roman" w:hAnsi="Times New Roman"/>
          <w:sz w:val="24"/>
          <w:szCs w:val="24"/>
          <w:color w:val="auto"/>
        </w:rPr>
        <w:t>скалата е плътна,</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зелена до тревистозелена,</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едро-грубозърнеста с неравен</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зърнест лом. На отрязана повърхнина сред тъмнозелената основна маса се наблюдават сравнително равномерно разпределени бели до светлосивкави зърна. Реагира много слабо на солна кисилина. Текстурата на скалата е масивна, а структурата – псамитова, хетерозърнеста.</w:t>
      </w:r>
    </w:p>
    <w:p>
      <w:pPr>
        <w:spacing w:after="0" w:line="1" w:lineRule="exact"/>
        <w:rPr>
          <w:rFonts w:ascii="Times New Roman" w:cs="Times New Roman" w:eastAsia="Times New Roman" w:hAnsi="Times New Roman"/>
          <w:sz w:val="24"/>
          <w:szCs w:val="24"/>
          <w:color w:val="auto"/>
        </w:rPr>
      </w:pPr>
    </w:p>
    <w:p>
      <w:pPr>
        <w:jc w:val="both"/>
        <w:ind w:left="9" w:firstLine="566"/>
        <w:spacing w:after="0" w:line="21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color w:val="auto"/>
        </w:rPr>
        <w:t>Долният хоризонт (II</w:t>
      </w:r>
      <w:r>
        <w:rPr>
          <w:rFonts w:ascii="Times New Roman" w:cs="Times New Roman" w:eastAsia="Times New Roman" w:hAnsi="Times New Roman"/>
          <w:sz w:val="32"/>
          <w:szCs w:val="32"/>
          <w:b w:val="1"/>
          <w:bCs w:val="1"/>
          <w:color w:val="auto"/>
          <w:vertAlign w:val="superscript"/>
        </w:rPr>
        <w:t>-ри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е изграден от сравнително по-масивни и по-плътни среднозърнести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глауконитови пясъчници с характерен тъмнозелен до сивозелен цвят, на места прослоени от дребнозърнести и по-глинести слоеве от глауконитови пясъчници и аргилити.</w:t>
      </w:r>
    </w:p>
    <w:p>
      <w:pPr>
        <w:ind w:left="569"/>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Дебелината на този хоризонт е не по-малко от 20-25 m.</w:t>
      </w:r>
    </w:p>
    <w:p>
      <w:pPr>
        <w:jc w:val="both"/>
        <w:ind w:left="9" w:firstLine="566"/>
        <w:spacing w:after="0" w:line="21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Макроскопски </w:t>
      </w:r>
      <w:r>
        <w:rPr>
          <w:rFonts w:ascii="Times New Roman" w:cs="Times New Roman" w:eastAsia="Times New Roman" w:hAnsi="Times New Roman"/>
          <w:sz w:val="24"/>
          <w:szCs w:val="24"/>
          <w:color w:val="auto"/>
        </w:rPr>
        <w:t>глауконитовите пясъчници от</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хоризонт са по-плътни,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здрави,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едрозърнести и с по-масивна текстура. Цветът им е в по-тъмните гами от тъмнозелено до сивозелено. Реагират слабо със солна киселина. Cтруктурата им е псамитова, хетерозърнеста.</w:t>
      </w:r>
    </w:p>
    <w:p>
      <w:pPr>
        <w:spacing w:after="0" w:line="2" w:lineRule="exact"/>
        <w:rPr>
          <w:rFonts w:ascii="Times New Roman" w:cs="Times New Roman" w:eastAsia="Times New Roman" w:hAnsi="Times New Roman"/>
          <w:sz w:val="24"/>
          <w:szCs w:val="24"/>
          <w:color w:val="auto"/>
        </w:rPr>
      </w:pPr>
    </w:p>
    <w:p>
      <w:pPr>
        <w:jc w:val="both"/>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Покривката в находище „Глория” </w:t>
      </w:r>
      <w:r>
        <w:rPr>
          <w:rFonts w:ascii="Times New Roman" w:cs="Times New Roman" w:eastAsia="Times New Roman" w:hAnsi="Times New Roman"/>
          <w:sz w:val="24"/>
          <w:szCs w:val="24"/>
          <w:color w:val="auto"/>
        </w:rPr>
        <w:t>е представена от еолично-алувиално-делувиални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(кватернерни) отложения. В строежа на тази тънка кватернерна покривка от еолично-алувиално-делувиални отложения преобладава преотложен льос и песъчливи леко варовити глини на места с повече или по-малко късове от подложката – екзогенно променени късове от пясъчници и варовици.</w:t>
      </w:r>
    </w:p>
    <w:p>
      <w:pPr>
        <w:spacing w:after="0" w:line="3" w:lineRule="exact"/>
        <w:rPr>
          <w:rFonts w:ascii="Times New Roman" w:cs="Times New Roman" w:eastAsia="Times New Roman" w:hAnsi="Times New Roman"/>
          <w:sz w:val="24"/>
          <w:szCs w:val="24"/>
          <w:color w:val="auto"/>
        </w:rPr>
      </w:pPr>
    </w:p>
    <w:p>
      <w:pPr>
        <w:ind w:left="9"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Дебелината на покривката е най-значима в билните части на терена, обхващащи главно централните и източните окрайнини на находището, където достига до 3-4 и повече метра.</w:t>
      </w:r>
    </w:p>
    <w:p>
      <w:pPr>
        <w:jc w:val="both"/>
        <w:ind w:left="9" w:firstLine="558"/>
        <w:spacing w:after="0" w:line="256" w:lineRule="auto"/>
        <w:tabs>
          <w:tab w:leader="none" w:pos="796"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западната част на находището тази покривка е по-малка – 1-2 m. По-протежение на някои от по-стръмните дерета близо до с. Мало Пещене тези льосови образувания са изцяло отмити и на съвременния терен се наблюдават много добре разкрития на тревисто зелени глауконитови</w:t>
      </w:r>
    </w:p>
    <w:p>
      <w:pPr>
        <w:spacing w:after="0" w:line="118"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пясъчници от горния хоризонт на Малопещенската свита.</w:t>
      </w:r>
    </w:p>
    <w:p>
      <w:pPr>
        <w:spacing w:after="0" w:line="119"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3.1.2 Прилагани добивни технологии</w:t>
      </w:r>
    </w:p>
    <w:p>
      <w:pPr>
        <w:spacing w:after="0" w:line="1"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Минно-технологичните условия в находището предопределят предвидената в инвестиционното предложение система за добив по открит кариерен способ без употреба на взривни вещества.</w:t>
      </w:r>
    </w:p>
    <w:p>
      <w:pPr>
        <w:ind w:firstLine="566"/>
        <w:spacing w:after="0" w:line="248" w:lineRule="auto"/>
        <w:rPr>
          <w:sz w:val="20"/>
          <w:szCs w:val="20"/>
          <w:color w:val="auto"/>
        </w:rPr>
      </w:pPr>
      <w:r>
        <w:rPr>
          <w:rFonts w:ascii="Times New Roman" w:cs="Times New Roman" w:eastAsia="Times New Roman" w:hAnsi="Times New Roman"/>
          <w:sz w:val="24"/>
          <w:szCs w:val="24"/>
          <w:color w:val="auto"/>
        </w:rPr>
        <w:t>Добивът на глауконитови пясъчници в находището ще се извършва при следване на следните параметри на минните работи:</w:t>
      </w:r>
    </w:p>
    <w:p>
      <w:pPr>
        <w:ind w:left="1280" w:hanging="362"/>
        <w:spacing w:after="0"/>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Височина на работно стъпало – 15 m за основния добив; 5 m- за работа по откривката;</w:t>
      </w:r>
    </w:p>
    <w:p>
      <w:pPr>
        <w:ind w:left="1280" w:hanging="362"/>
        <w:spacing w:after="0" w:line="190"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Ъгъл на работното стъпало в неработен борд – 45</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 xml:space="preserve"> и 25</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 xml:space="preserve"> за работа по откривката;</w:t>
      </w:r>
    </w:p>
    <w:p>
      <w:pPr>
        <w:spacing w:after="0" w:line="1" w:lineRule="exact"/>
        <w:rPr>
          <w:rFonts w:ascii="Symbol" w:cs="Symbol" w:eastAsia="Symbol" w:hAnsi="Symbol"/>
          <w:sz w:val="24"/>
          <w:szCs w:val="24"/>
          <w:color w:val="auto"/>
        </w:rPr>
      </w:pPr>
    </w:p>
    <w:p>
      <w:pPr>
        <w:ind w:left="1280" w:hanging="362"/>
        <w:spacing w:after="0" w:line="192"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Генерален бордов ъгъл на кариерата – до 41</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w:t>
      </w:r>
    </w:p>
    <w:p>
      <w:pPr>
        <w:ind w:left="1280" w:hanging="362"/>
        <w:spacing w:after="0" w:line="190"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Максимален наклон на булдозерните пътища – до 20</w:t>
      </w:r>
      <w:r>
        <w:rPr>
          <w:rFonts w:ascii="Times New Roman" w:cs="Times New Roman" w:eastAsia="Times New Roman" w:hAnsi="Times New Roman"/>
          <w:sz w:val="32"/>
          <w:szCs w:val="32"/>
          <w:color w:val="auto"/>
          <w:vertAlign w:val="superscript"/>
        </w:rPr>
        <w:t>0</w:t>
      </w:r>
      <w:r>
        <w:rPr>
          <w:rFonts w:ascii="Times New Roman" w:cs="Times New Roman" w:eastAsia="Times New Roman" w:hAnsi="Times New Roman"/>
          <w:sz w:val="24"/>
          <w:szCs w:val="24"/>
          <w:color w:val="auto"/>
        </w:rPr>
        <w:t>;</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Височина на булдозерните насипища - до 15 m;</w:t>
      </w:r>
    </w:p>
    <w:p>
      <w:pPr>
        <w:ind w:left="1280" w:hanging="362"/>
        <w:spacing w:after="0" w:line="239"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Широчина на предпазните берми – 5,0 m;</w:t>
      </w:r>
    </w:p>
    <w:p>
      <w:pPr>
        <w:ind w:left="1280" w:hanging="362"/>
        <w:spacing w:after="0" w:line="231" w:lineRule="auto"/>
        <w:tabs>
          <w:tab w:leader="none" w:pos="1280" w:val="left"/>
        </w:tabs>
        <w:numPr>
          <w:ilvl w:val="0"/>
          <w:numId w:val="10"/>
        </w:numPr>
        <w:rPr>
          <w:rFonts w:ascii="Symbol" w:cs="Symbol" w:eastAsia="Symbol" w:hAnsi="Symbol"/>
          <w:sz w:val="24"/>
          <w:szCs w:val="24"/>
          <w:color w:val="auto"/>
        </w:rPr>
      </w:pPr>
      <w:r>
        <w:rPr>
          <w:rFonts w:ascii="Times New Roman" w:cs="Times New Roman" w:eastAsia="Times New Roman" w:hAnsi="Times New Roman"/>
          <w:sz w:val="24"/>
          <w:szCs w:val="24"/>
          <w:color w:val="auto"/>
        </w:rPr>
        <w:t>Минимална широчина на работната площадка – 40,0 m – това ще обезпечи разполагане на необходимото оборудване и безопасната му експлоатация.</w:t>
      </w:r>
    </w:p>
    <w:p>
      <w:pPr>
        <w:spacing w:after="0" w:line="1"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Експлоатацията на кариерата ще започне от централната част на блок 1 с доказани запаси и постепенно в хоризонтален план ще се развие първоначално в изток-североизточна и западна посока, а впоследствие и в дълбочина, започвайки от хоризонт 284 и стигайки в дълбочина до 260 m.</w:t>
      </w:r>
    </w:p>
    <w:p>
      <w:pPr>
        <w:jc w:val="both"/>
        <w:ind w:firstLine="566"/>
        <w:spacing w:after="0"/>
        <w:rPr>
          <w:sz w:val="20"/>
          <w:szCs w:val="20"/>
          <w:color w:val="auto"/>
        </w:rPr>
      </w:pPr>
      <w:r>
        <w:rPr>
          <w:rFonts w:ascii="Times New Roman" w:cs="Times New Roman" w:eastAsia="Times New Roman" w:hAnsi="Times New Roman"/>
          <w:sz w:val="24"/>
          <w:szCs w:val="24"/>
          <w:color w:val="auto"/>
        </w:rPr>
        <w:t>Изземването на екзогенно изветрелите и свежите глауконитови пясъчници следва да се осъществява успоредно, като за първичната преработка е желателно изветрелият субстрат да бъде до 20% от общото количество скална маса.</w:t>
      </w:r>
    </w:p>
    <w:p>
      <w:pPr>
        <w:jc w:val="both"/>
        <w:ind w:firstLine="566"/>
        <w:spacing w:after="0"/>
        <w:rPr>
          <w:sz w:val="20"/>
          <w:szCs w:val="20"/>
          <w:color w:val="auto"/>
        </w:rPr>
      </w:pPr>
      <w:r>
        <w:rPr>
          <w:rFonts w:ascii="Times New Roman" w:cs="Times New Roman" w:eastAsia="Times New Roman" w:hAnsi="Times New Roman"/>
          <w:sz w:val="24"/>
          <w:szCs w:val="24"/>
          <w:color w:val="auto"/>
        </w:rPr>
        <w:t>При извършването на такъв добив още преди първичната преработка ще се усредняват съдържанието на глауконит и физико-механичните показатели на материала в дълбочина.</w:t>
      </w:r>
    </w:p>
    <w:p>
      <w:pPr>
        <w:jc w:val="both"/>
        <w:ind w:firstLine="566"/>
        <w:spacing w:after="0"/>
        <w:rPr>
          <w:sz w:val="20"/>
          <w:szCs w:val="20"/>
          <w:color w:val="auto"/>
        </w:rPr>
      </w:pPr>
      <w:r>
        <w:rPr>
          <w:rFonts w:ascii="Times New Roman" w:cs="Times New Roman" w:eastAsia="Times New Roman" w:hAnsi="Times New Roman"/>
          <w:sz w:val="24"/>
          <w:szCs w:val="24"/>
          <w:color w:val="auto"/>
        </w:rPr>
        <w:t>Изветрелият глауконитов пясъчник ще се изземва директно с багер и ще се товари на самосвали. Предвижда се организацията на работа през първо и четвърто тримесечие, когато валежите са повече, да се работи предимно в забой със свежи глауконитови пясъчници, които поемат по-малко влага и се обработват по-добре. Работа при добив на свежи глауконитови материали в дъждовно време е по-облекчена.</w:t>
      </w:r>
    </w:p>
    <w:p>
      <w:pPr>
        <w:jc w:val="both"/>
        <w:ind w:firstLine="567"/>
        <w:spacing w:after="0" w:line="236" w:lineRule="auto"/>
        <w:rPr>
          <w:sz w:val="20"/>
          <w:szCs w:val="20"/>
          <w:color w:val="auto"/>
        </w:rPr>
      </w:pPr>
      <w:r>
        <w:rPr>
          <w:rFonts w:ascii="Times New Roman" w:cs="Times New Roman" w:eastAsia="Times New Roman" w:hAnsi="Times New Roman"/>
          <w:sz w:val="24"/>
          <w:szCs w:val="24"/>
          <w:color w:val="auto"/>
        </w:rPr>
        <w:t xml:space="preserve">Свежият глауконитов пясъчник, поради значителната си плътност и твърдост не може улеснено да се разработва чрез директно изземване с багер. За това се налага предварителното им разрохване с булдозер- разрохвач от типа на </w:t>
      </w:r>
      <w:r>
        <w:rPr>
          <w:rFonts w:ascii="Times New Roman" w:cs="Times New Roman" w:eastAsia="Times New Roman" w:hAnsi="Times New Roman"/>
          <w:sz w:val="22"/>
          <w:szCs w:val="22"/>
          <w:color w:val="auto"/>
        </w:rPr>
        <w:t>Комацу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D-355A.</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Разрохкваната суровина ще се събира с</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булдозер, като се трупа на дълги купове с височина до 2,5-3,0 m и широчина 15-25 m. Върху така оформените куполи ще се качва багер, който работи с долно гребане и товарена на автосамосвалите.</w:t>
      </w:r>
    </w:p>
    <w:p>
      <w:pPr>
        <w:jc w:val="both"/>
        <w:ind w:firstLine="566"/>
        <w:spacing w:after="0" w:line="272" w:lineRule="auto"/>
        <w:rPr>
          <w:sz w:val="20"/>
          <w:szCs w:val="20"/>
          <w:color w:val="auto"/>
        </w:rPr>
      </w:pPr>
      <w:r>
        <w:rPr>
          <w:rFonts w:ascii="Times New Roman" w:cs="Times New Roman" w:eastAsia="Times New Roman" w:hAnsi="Times New Roman"/>
          <w:sz w:val="24"/>
          <w:szCs w:val="24"/>
          <w:color w:val="auto"/>
        </w:rPr>
        <w:t>Така добитият скален материал от глауконитови пясъчници ще се извозва до промишлената площадка за осъществяване на неговата преработка в преработвателна инсталация</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3.1.3 Прилагани преработвателни технологии</w:t>
      </w:r>
    </w:p>
    <w:p>
      <w:pPr>
        <w:spacing w:after="0" w:line="1" w:lineRule="exact"/>
        <w:rPr>
          <w:sz w:val="20"/>
          <w:szCs w:val="20"/>
          <w:color w:val="auto"/>
        </w:rPr>
      </w:pPr>
    </w:p>
    <w:p>
      <w:pPr>
        <w:ind w:left="560" w:right="1100"/>
        <w:spacing w:after="0"/>
        <w:rPr>
          <w:sz w:val="20"/>
          <w:szCs w:val="20"/>
          <w:color w:val="auto"/>
        </w:rPr>
      </w:pPr>
      <w:r>
        <w:rPr>
          <w:rFonts w:ascii="Times New Roman" w:cs="Times New Roman" w:eastAsia="Times New Roman" w:hAnsi="Times New Roman"/>
          <w:sz w:val="24"/>
          <w:szCs w:val="24"/>
          <w:color w:val="auto"/>
        </w:rPr>
        <w:t xml:space="preserve">Необходимата преработвателна инсталация ще се състои от три модула: </w:t>
      </w:r>
      <w:r>
        <w:rPr>
          <w:rFonts w:ascii="Times New Roman" w:cs="Times New Roman" w:eastAsia="Times New Roman" w:hAnsi="Times New Roman"/>
          <w:sz w:val="24"/>
          <w:szCs w:val="24"/>
          <w:b w:val="1"/>
          <w:bCs w:val="1"/>
          <w:i w:val="1"/>
          <w:iCs w:val="1"/>
          <w:color w:val="auto"/>
        </w:rPr>
        <w:t xml:space="preserve">Трошачно-сортировъчен модул </w:t>
      </w:r>
      <w:r>
        <w:rPr>
          <w:rFonts w:ascii="Times New Roman" w:cs="Times New Roman" w:eastAsia="Times New Roman" w:hAnsi="Times New Roman"/>
          <w:sz w:val="24"/>
          <w:szCs w:val="24"/>
          <w:color w:val="auto"/>
        </w:rPr>
        <w:t>за първично натрошаване на материала до</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0,25</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mm</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Мобилната трошачно – сортировъчна инсталация е изградена от два модула:</w:t>
      </w:r>
    </w:p>
    <w:p>
      <w:pPr>
        <w:ind w:left="800" w:hanging="242"/>
        <w:spacing w:after="0"/>
        <w:tabs>
          <w:tab w:leader="none" w:pos="800"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Мобилна роторна трошачка, чиято функция е следната:</w:t>
      </w:r>
    </w:p>
    <w:p>
      <w:pPr>
        <w:jc w:val="both"/>
        <w:ind w:firstLine="558"/>
        <w:spacing w:after="0"/>
        <w:tabs>
          <w:tab w:leader="none" w:pos="802"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приемния бункер се подава изкопана миннаа маса със зърнометрия '' – 600 mm ”. Скалната маса над 600 mm се отделя с помощта на хидравлична скара.От приемния бункер служещ за подаване на константно количество скална маса по ГТЛ материала постъпва в роторна трошачка,където се претрошава до фракция ”+25 mm”</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 Мобилно двуплощно сито, чиято функция е следната:</w:t>
      </w:r>
    </w:p>
    <w:p>
      <w:pPr>
        <w:jc w:val="both"/>
        <w:ind w:firstLine="566"/>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 роторната трошачка по ГТЛ се подава претрошения материал на двудеково сито, което пресява три фракции: „0 – 5 mm” ,”5 – 25 mm” и “+25 mm”. Ситовите повърхности могат да се променят в зависимост от търсенето на пазара. Фракцията над 25 mm може да се подава за повторно трошене.</w:t>
      </w:r>
    </w:p>
    <w:p>
      <w:pPr>
        <w:spacing w:after="0" w:line="3" w:lineRule="exact"/>
        <w:rPr>
          <w:rFonts w:ascii="Times New Roman" w:cs="Times New Roman" w:eastAsia="Times New Roman" w:hAnsi="Times New Roman"/>
          <w:sz w:val="24"/>
          <w:szCs w:val="24"/>
          <w:color w:val="auto"/>
        </w:rPr>
      </w:pP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Сушилно-мелачен модул </w:t>
      </w:r>
      <w:r>
        <w:rPr>
          <w:rFonts w:ascii="Times New Roman" w:cs="Times New Roman" w:eastAsia="Times New Roman" w:hAnsi="Times New Roman"/>
          <w:sz w:val="24"/>
          <w:szCs w:val="24"/>
          <w:color w:val="auto"/>
        </w:rPr>
        <w:t>(вертикална сушилно-мелачна инсталация със затворен цикъл за</w:t>
      </w:r>
    </w:p>
    <w:p>
      <w:pPr>
        <w:spacing w:after="0" w:line="165"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5" w:lineRule="exact"/>
        <w:rPr>
          <w:sz w:val="20"/>
          <w:szCs w:val="20"/>
          <w:color w:val="auto"/>
        </w:rPr>
      </w:pPr>
    </w:p>
    <w:p>
      <w:pPr>
        <w:ind w:left="9"/>
        <w:spacing w:after="0"/>
        <w:rPr>
          <w:sz w:val="20"/>
          <w:szCs w:val="20"/>
          <w:color w:val="auto"/>
        </w:rPr>
      </w:pPr>
      <w:r>
        <w:rPr>
          <w:rFonts w:ascii="Times New Roman" w:cs="Times New Roman" w:eastAsia="Times New Roman" w:hAnsi="Times New Roman"/>
          <w:sz w:val="24"/>
          <w:szCs w:val="24"/>
          <w:color w:val="auto"/>
        </w:rPr>
        <w:t>гравитационно улавяне на смлени глауконитови зърна от 0,2 mm)</w:t>
      </w:r>
    </w:p>
    <w:p>
      <w:pPr>
        <w:jc w:val="both"/>
        <w:ind w:left="9" w:firstLine="566"/>
        <w:spacing w:after="0" w:line="239" w:lineRule="auto"/>
        <w:rPr>
          <w:sz w:val="20"/>
          <w:szCs w:val="20"/>
          <w:color w:val="auto"/>
        </w:rPr>
      </w:pPr>
      <w:r>
        <w:rPr>
          <w:rFonts w:ascii="Times New Roman" w:cs="Times New Roman" w:eastAsia="Times New Roman" w:hAnsi="Times New Roman"/>
          <w:sz w:val="24"/>
          <w:szCs w:val="24"/>
          <w:color w:val="auto"/>
        </w:rPr>
        <w:t>Сушилно – мелачния комплекс се състои от топкова мелника и сушлня с капацитет от 5 m3 на час (например Metso minerals). Мелницата e ot wida SMD и има следните параметри: дължина 2,4 м широчина 0,9 м височина 3,3 м. Инстаираната мощност е 112 kW. Шум – 80 dB.</w:t>
      </w:r>
    </w:p>
    <w:p>
      <w:pPr>
        <w:spacing w:after="0" w:line="2"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Електромагнитен сепаратор</w:t>
      </w:r>
    </w:p>
    <w:p>
      <w:pPr>
        <w:spacing w:after="0" w:line="1"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color w:val="auto"/>
        </w:rPr>
        <w:t>Изсушения материал се подава на магнитен сепаратор за обогатяване. Магнитния сепаратор е</w:t>
      </w:r>
    </w:p>
    <w:p>
      <w:pPr>
        <w:jc w:val="both"/>
        <w:ind w:left="9" w:hanging="9"/>
        <w:spacing w:after="0"/>
        <w:tabs>
          <w:tab w:leader="none" w:pos="201"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часова производителност от 5 m3 и е от вида RD на Metso minerals. Инсталирана мощност е 15 kW. След обогатяване на глауконитовата суровина, тя се депонира на временно депо за експедиция.</w:t>
      </w:r>
    </w:p>
    <w:p>
      <w:pPr>
        <w:jc w:val="both"/>
        <w:ind w:left="9" w:firstLine="566"/>
        <w:spacing w:after="0" w:line="24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Феромагнитните свойства на минерала глауконит предопределят най-ефективния метод на обогатяването да е с електромагнитен сепаратор. С приложената технологична схема на обогатяване със сухи магнитни сепаратори е достигнат глауконитов концентрат със съдържание на глауконит 81%, в който съдържанието на К2О е 8,6%. След пречистна магнитна сепарация се получава глауконитов концентрат 76%, със съдържание на К2О – 8,1%.</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3.1.4 Изграждане на водосборници (утайници)</w:t>
      </w:r>
    </w:p>
    <w:p>
      <w:pPr>
        <w:spacing w:after="0" w:line="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Предпазването на кариерата от дъждовни и снежни води – склонов отток, които могат да навлязат в нея от околните терени, ще се извършва чрез охранителни канавки. Тези води няма да имат контакт с кариерното поле и дейностите, предвидени с инвестиционното предложение няма да въздействат върху качествата им. Формираният вследствие на валежи и снеготопене водоотлив в кариерното поле ще бъде отвеждан гравитачно към водосборници (утайници) и ще се ползва за оросяване. В процеса на добивните работи дъното на кариерното поле ще се оформя с наклон по посока на водосборниците не по-малък от 1%. Изграждането и поддръжката на канавките и водосборниците ще се извършва с основната техника на кариерата – булдозер-разрохквача и багера.</w:t>
      </w:r>
    </w:p>
    <w:p>
      <w:pPr>
        <w:jc w:val="both"/>
        <w:ind w:left="9" w:firstLine="566"/>
        <w:spacing w:after="0" w:line="234" w:lineRule="auto"/>
        <w:rPr>
          <w:sz w:val="20"/>
          <w:szCs w:val="20"/>
          <w:color w:val="auto"/>
        </w:rPr>
      </w:pPr>
      <w:r>
        <w:rPr>
          <w:rFonts w:ascii="Times New Roman" w:cs="Times New Roman" w:eastAsia="Times New Roman" w:hAnsi="Times New Roman"/>
          <w:sz w:val="24"/>
          <w:szCs w:val="24"/>
          <w:color w:val="auto"/>
        </w:rPr>
        <w:t>Северозападно от вътрешната траншея, трябва да се оформи водосборник. Поради потъването на минните работи в дълбочина, той трябва да се удълбава периодично до кота 260 m, като минималните му размери в план не трябва да са по-малки от 20 на 10 m. При преместване на работния борд в посока запад-югозапад, при необходимост ще се изградят допълнителни шламоуловители, в близост с изградените вече.</w:t>
      </w:r>
    </w:p>
    <w:p>
      <w:pPr>
        <w:spacing w:after="0" w:line="4"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color w:val="auto"/>
        </w:rPr>
        <w:t>Утайниците – шламоуловители ще имат приблизителен обем от 3000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57"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3.1.5 Характеристика на очакваните продукти</w:t>
      </w:r>
    </w:p>
    <w:p>
      <w:pPr>
        <w:spacing w:after="0" w:line="1" w:lineRule="exact"/>
        <w:rPr>
          <w:sz w:val="20"/>
          <w:szCs w:val="20"/>
          <w:color w:val="auto"/>
        </w:rPr>
      </w:pPr>
    </w:p>
    <w:p>
      <w:pPr>
        <w:jc w:val="both"/>
        <w:ind w:left="9" w:firstLine="566"/>
        <w:spacing w:after="0"/>
        <w:rPr>
          <w:sz w:val="20"/>
          <w:szCs w:val="20"/>
          <w:color w:val="auto"/>
        </w:rPr>
      </w:pPr>
      <w:r>
        <w:rPr>
          <w:rFonts w:ascii="Times New Roman" w:cs="Times New Roman" w:eastAsia="Times New Roman" w:hAnsi="Times New Roman"/>
          <w:sz w:val="24"/>
          <w:szCs w:val="24"/>
          <w:color w:val="auto"/>
        </w:rPr>
        <w:t xml:space="preserve">Глауконитовите пясъчници като правило са изградени основно от глауконит (над 50%). Глауконитът (от гръцки glaucos – дълбоко зелен) е минерал от групата на хидрослюдите, подклас слоисти силикати и представлява воден алумосиликат на K, Mg и Fe. Цветът му е светлозелен до тъмно масленозелен и поради това синонимът му в световен мащаб е </w:t>
      </w:r>
      <w:r>
        <w:rPr>
          <w:rFonts w:ascii="Times New Roman" w:cs="Times New Roman" w:eastAsia="Times New Roman" w:hAnsi="Times New Roman"/>
          <w:sz w:val="24"/>
          <w:szCs w:val="24"/>
          <w:b w:val="1"/>
          <w:bCs w:val="1"/>
          <w:color w:val="auto"/>
        </w:rPr>
        <w:t>„зелена земя”</w:t>
      </w:r>
      <w:r>
        <w:rPr>
          <w:rFonts w:ascii="Times New Roman" w:cs="Times New Roman" w:eastAsia="Times New Roman" w:hAnsi="Times New Roman"/>
          <w:sz w:val="24"/>
          <w:szCs w:val="24"/>
          <w:color w:val="auto"/>
        </w:rPr>
        <w:t>. Образуването му или по-точно произхода му се свързва с химични утайки, натрупани в прибрежните зони на моретата и океаните, като в най-голяма степен асоциира с пясъчници, мергели и фосфорити.</w:t>
      </w:r>
    </w:p>
    <w:p>
      <w:pPr>
        <w:jc w:val="both"/>
        <w:ind w:left="9" w:firstLine="566"/>
        <w:spacing w:after="0"/>
        <w:rPr>
          <w:sz w:val="20"/>
          <w:szCs w:val="20"/>
          <w:color w:val="auto"/>
        </w:rPr>
      </w:pPr>
      <w:r>
        <w:rPr>
          <w:rFonts w:ascii="Times New Roman" w:cs="Times New Roman" w:eastAsia="Times New Roman" w:hAnsi="Times New Roman"/>
          <w:sz w:val="24"/>
          <w:szCs w:val="24"/>
          <w:color w:val="auto"/>
        </w:rPr>
        <w:t>Глауконитът е автогенен минерал, образуван в морска среда в редукционно-окислителни условия. Синтезира се от тинести разтвори, носители на Si, Fe, Al, Mg и абсорбира K по време на диагенезата. Притежава като правило високи абсорбционни и катионни обменни свойства. Глауконитът – този глинест минерал с променлив състав и високо съдържание на дву- и тривалентно Fe, Ca, Mg, K и P, съдържа и повече от 20 микроелемента, сред които Cu, Ag, Ni, Co, Mn, Zn, Mo, Sb, Cr, Be, Cd и др. Изключително важна негова особеност е, че всички тези елементи се намират във вид на лесно извлекаема форма. Поради слоистата му структура много лесно се реализира смяната на катиони, които се заместват от елементи, които се намират в излишък в окръжаващата среда.</w:t>
      </w:r>
    </w:p>
    <w:p>
      <w:pPr>
        <w:jc w:val="both"/>
        <w:ind w:left="9" w:firstLine="566"/>
        <w:spacing w:after="0"/>
        <w:rPr>
          <w:sz w:val="20"/>
          <w:szCs w:val="20"/>
          <w:color w:val="auto"/>
        </w:rPr>
      </w:pPr>
      <w:r>
        <w:rPr>
          <w:rFonts w:ascii="Times New Roman" w:cs="Times New Roman" w:eastAsia="Times New Roman" w:hAnsi="Times New Roman"/>
          <w:sz w:val="24"/>
          <w:szCs w:val="24"/>
          <w:color w:val="auto"/>
        </w:rPr>
        <w:t>Йонообменната способност на глауконита е от 0.1 до 0.4 мол/кг. Пористостта му е 23-25%, твърдост - 1.3-2.0; плътност 1,8-3.0; размера на изграждащите го частици е от 0,03 до 0,65 mm.</w:t>
      </w:r>
    </w:p>
    <w:p>
      <w:pPr>
        <w:jc w:val="both"/>
        <w:ind w:left="9" w:firstLine="566"/>
        <w:spacing w:after="0" w:line="248" w:lineRule="auto"/>
        <w:rPr>
          <w:sz w:val="20"/>
          <w:szCs w:val="20"/>
          <w:color w:val="auto"/>
        </w:rPr>
      </w:pPr>
      <w:r>
        <w:rPr>
          <w:rFonts w:ascii="Times New Roman" w:cs="Times New Roman" w:eastAsia="Times New Roman" w:hAnsi="Times New Roman"/>
          <w:sz w:val="24"/>
          <w:szCs w:val="24"/>
          <w:color w:val="auto"/>
        </w:rPr>
        <w:t>Благодарение на своите специфични свойства (слоиста структура и активни катиони) глауконитът представлява изключително ценна суровина с различни предназначения в селското стопанство за производство на естествени минерални торове с комплексно многофакторно въздействие. Възниква закономерно въпросът –„за сметка на какво би могло да се получава такава висока ефективност на глауконита?”.</w:t>
      </w:r>
    </w:p>
    <w:p>
      <w:pPr>
        <w:spacing w:after="0" w:line="187" w:lineRule="exact"/>
        <w:rPr>
          <w:sz w:val="20"/>
          <w:szCs w:val="20"/>
          <w:color w:val="auto"/>
        </w:rPr>
      </w:pPr>
    </w:p>
    <w:p>
      <w:pPr>
        <w:ind w:left="10209"/>
        <w:spacing w:after="0"/>
        <w:rPr>
          <w:sz w:val="20"/>
          <w:szCs w:val="20"/>
          <w:color w:val="auto"/>
        </w:rPr>
      </w:pPr>
      <w:r>
        <w:rPr>
          <w:rFonts w:ascii="Times New Roman" w:cs="Times New Roman" w:eastAsia="Times New Roman" w:hAnsi="Times New Roman"/>
          <w:sz w:val="20"/>
          <w:szCs w:val="20"/>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9"/>
          </w:cols>
          <w:pgMar w:left="991" w:top="376" w:right="571" w:bottom="0" w:gutter="0" w:footer="0" w:header="0"/>
        </w:sectPr>
      </w:pPr>
    </w:p>
    <w:p>
      <w:pPr>
        <w:spacing w:after="0" w:line="2" w:lineRule="exact"/>
        <w:rPr>
          <w:sz w:val="20"/>
          <w:szCs w:val="20"/>
          <w:color w:val="auto"/>
        </w:rPr>
      </w:pPr>
    </w:p>
    <w:p>
      <w:pPr>
        <w:jc w:val="center"/>
        <w:ind w:right="669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1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9"/>
          </w:cols>
          <w:pgMar w:left="991" w:top="376" w:right="571" w:bottom="0" w:gutter="0" w:footer="0" w:header="0"/>
          <w:type w:val="continuous"/>
        </w:sectPr>
      </w:pPr>
    </w:p>
    <w:p>
      <w:pPr>
        <w:jc w:val="both"/>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firstLine="566"/>
        <w:spacing w:after="0"/>
        <w:rPr>
          <w:sz w:val="20"/>
          <w:szCs w:val="20"/>
          <w:color w:val="auto"/>
        </w:rPr>
      </w:pPr>
      <w:r>
        <w:rPr>
          <w:rFonts w:ascii="Times New Roman" w:cs="Times New Roman" w:eastAsia="Times New Roman" w:hAnsi="Times New Roman"/>
          <w:sz w:val="24"/>
          <w:szCs w:val="24"/>
          <w:color w:val="auto"/>
        </w:rPr>
        <w:t>Множеството изследвания и практически опит в световен мащаб свидетелствуват, че това е възможно поради следните механизми на въздействие върху почвата и растенията:</w:t>
      </w:r>
    </w:p>
    <w:p>
      <w:pPr>
        <w:jc w:val="both"/>
        <w:ind w:firstLine="566"/>
        <w:spacing w:after="0"/>
        <w:rPr>
          <w:sz w:val="20"/>
          <w:szCs w:val="20"/>
          <w:color w:val="auto"/>
        </w:rPr>
      </w:pPr>
      <w:r>
        <w:rPr>
          <w:rFonts w:ascii="Times New Roman" w:cs="Times New Roman" w:eastAsia="Times New Roman" w:hAnsi="Times New Roman"/>
          <w:sz w:val="24"/>
          <w:szCs w:val="24"/>
          <w:color w:val="auto"/>
        </w:rPr>
        <w:t>Глауконитът е източник не само на макрохранителни елементи за растенията (K, Na, P ), а преди всичко средство за подобряване структурата на почвата и съхраняване на почвената влага.</w:t>
      </w:r>
    </w:p>
    <w:p>
      <w:pPr>
        <w:jc w:val="both"/>
        <w:ind w:firstLine="566"/>
        <w:spacing w:after="0"/>
        <w:rPr>
          <w:sz w:val="20"/>
          <w:szCs w:val="20"/>
          <w:color w:val="auto"/>
        </w:rPr>
      </w:pPr>
      <w:r>
        <w:rPr>
          <w:rFonts w:ascii="Times New Roman" w:cs="Times New Roman" w:eastAsia="Times New Roman" w:hAnsi="Times New Roman"/>
          <w:sz w:val="24"/>
          <w:szCs w:val="24"/>
          <w:color w:val="auto"/>
        </w:rPr>
        <w:t>Високата отделителна повърхност на глауконита му позвлява да сорбира йони и равномерно да ги разпределя в период на вегетация, повишавайки темпа на ефективност на минералния тор.</w:t>
      </w:r>
    </w:p>
    <w:p>
      <w:pPr>
        <w:jc w:val="both"/>
        <w:ind w:firstLine="558"/>
        <w:spacing w:after="0"/>
        <w:tabs>
          <w:tab w:leader="none" w:pos="814"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никакъв случай не следва да се подценява и обстоятелството, че в глауконита присъстват редица микроелементи (Co, Zn, Mn и др.), които могат да оказват стимулиращо въздействие върху ръста и цялостното развитие на растенията.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Високата поглъщаща и йонообменна способност на глауконита повишава водозадържащите му свойства, което съдейства за по-продължителното и по-ефективно използване на хранителните елементи, съдържащи се в почвата.</w:t>
      </w:r>
    </w:p>
    <w:p>
      <w:pPr>
        <w:jc w:val="both"/>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привличат вниманието вече в много страни с ниската себестойност на продукта, високите стойности на калия и възможността за освобождаването на лесноусвоими съединения в продължение на много дълъг период от време.</w:t>
      </w:r>
    </w:p>
    <w:p>
      <w:pPr>
        <w:jc w:val="both"/>
        <w:ind w:firstLine="566"/>
        <w:spacing w:after="0" w:line="24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Като се има предвид натрупания световен и местен опит в изследването, преработването и употребата на глауконита в различни сектори на селското стопанство, проученото глауконитови пясъчници от находище „Глория” следва да се разглеждат като изходна суровина за производство на естествен комплексен глауконитов тор с многофакторно влияние не само с набогатяване на почвите с хранителни (K, P, Mn) и микроелементи (Cu, Zn, Mg, B, Fe и др.), но и с изключително значение за подобряване на нейната структура, препятствайки износа на летливи вещества, съхранява влагата, стимулира ръста и понижава заболеваемостта на растенията и то за един сравнително дълъг период от време 20-25 г.</w:t>
      </w:r>
    </w:p>
    <w:p>
      <w:pPr>
        <w:spacing w:after="0" w:line="82"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 Геоложки данни за находище „Глория“</w:t>
      </w:r>
    </w:p>
    <w:p>
      <w:pPr>
        <w:spacing w:after="0" w:line="11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3.2.1 Характеристика на находището</w:t>
      </w:r>
    </w:p>
    <w:p>
      <w:pPr>
        <w:ind w:left="560"/>
        <w:spacing w:after="0"/>
        <w:rPr>
          <w:sz w:val="20"/>
          <w:szCs w:val="20"/>
          <w:color w:val="auto"/>
        </w:rPr>
      </w:pPr>
      <w:r>
        <w:rPr>
          <w:rFonts w:ascii="Times New Roman" w:cs="Times New Roman" w:eastAsia="Times New Roman" w:hAnsi="Times New Roman"/>
          <w:sz w:val="24"/>
          <w:szCs w:val="24"/>
          <w:i w:val="1"/>
          <w:iCs w:val="1"/>
          <w:color w:val="auto"/>
        </w:rPr>
        <w:t>Форма и размери, количество на запасите</w:t>
      </w:r>
    </w:p>
    <w:p>
      <w:pPr>
        <w:spacing w:after="0" w:line="4" w:lineRule="exact"/>
        <w:rPr>
          <w:sz w:val="20"/>
          <w:szCs w:val="20"/>
          <w:color w:val="auto"/>
        </w:rPr>
      </w:pPr>
    </w:p>
    <w:p>
      <w:pPr>
        <w:jc w:val="both"/>
        <w:ind w:firstLine="566"/>
        <w:spacing w:after="0" w:line="233" w:lineRule="auto"/>
        <w:rPr>
          <w:sz w:val="20"/>
          <w:szCs w:val="20"/>
          <w:color w:val="auto"/>
        </w:rPr>
      </w:pPr>
      <w:r>
        <w:rPr>
          <w:rFonts w:ascii="Times New Roman" w:cs="Times New Roman" w:eastAsia="Times New Roman" w:hAnsi="Times New Roman"/>
          <w:sz w:val="24"/>
          <w:szCs w:val="24"/>
          <w:color w:val="auto"/>
        </w:rPr>
        <w:t xml:space="preserve">Глауконитовите пясъчници в находище „Глория” са с дебелина не по-малко от 40-45 m и могат да се разграничат в два хоризонта: </w:t>
      </w:r>
      <w:r>
        <w:rPr>
          <w:rFonts w:ascii="Times New Roman" w:cs="Times New Roman" w:eastAsia="Times New Roman" w:hAnsi="Times New Roman"/>
          <w:sz w:val="24"/>
          <w:szCs w:val="24"/>
          <w:b w:val="1"/>
          <w:bCs w:val="1"/>
          <w:color w:val="auto"/>
        </w:rPr>
        <w:t>Горен</w:t>
      </w:r>
      <w:r>
        <w:rPr>
          <w:rFonts w:ascii="Times New Roman" w:cs="Times New Roman" w:eastAsia="Times New Roman" w:hAnsi="Times New Roman"/>
          <w:sz w:val="24"/>
          <w:szCs w:val="24"/>
          <w:color w:val="auto"/>
        </w:rPr>
        <w:t xml:space="preserve">- изграден от глауконитови пясъчници с много характерен светлозелен до тревисто зелен цвят; </w:t>
      </w:r>
      <w:r>
        <w:rPr>
          <w:rFonts w:ascii="Times New Roman" w:cs="Times New Roman" w:eastAsia="Times New Roman" w:hAnsi="Times New Roman"/>
          <w:sz w:val="24"/>
          <w:szCs w:val="24"/>
          <w:b w:val="1"/>
          <w:bCs w:val="1"/>
          <w:color w:val="auto"/>
        </w:rPr>
        <w:t>Долен</w:t>
      </w:r>
      <w:r>
        <w:rPr>
          <w:rFonts w:ascii="Times New Roman" w:cs="Times New Roman" w:eastAsia="Times New Roman" w:hAnsi="Times New Roman"/>
          <w:sz w:val="24"/>
          <w:szCs w:val="24"/>
          <w:color w:val="auto"/>
        </w:rPr>
        <w:t xml:space="preserve"> – изграден от сравнително по-плътни пластове от глауконитови пясъчници с тъмнозелен до сив цвят.</w:t>
      </w:r>
    </w:p>
    <w:p>
      <w:pPr>
        <w:spacing w:after="0" w:line="2" w:lineRule="exact"/>
        <w:rPr>
          <w:sz w:val="20"/>
          <w:szCs w:val="20"/>
          <w:color w:val="auto"/>
        </w:rPr>
      </w:pPr>
    </w:p>
    <w:p>
      <w:pPr>
        <w:jc w:val="both"/>
        <w:ind w:firstLine="558"/>
        <w:spacing w:after="0" w:line="186" w:lineRule="auto"/>
        <w:tabs>
          <w:tab w:leader="none" w:pos="828" w:val="left"/>
        </w:tabs>
        <w:numPr>
          <w:ilvl w:val="1"/>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находище “ГЛОРИЯ” са оконтурени и изчислени 17 390 931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запаси от глауконитови пясъчници (Блок 1 - </w:t>
      </w:r>
      <w:r>
        <w:rPr>
          <w:rFonts w:ascii="Times New Roman" w:cs="Times New Roman" w:eastAsia="Times New Roman" w:hAnsi="Times New Roman"/>
          <w:sz w:val="24"/>
          <w:szCs w:val="24"/>
          <w:i w:val="1"/>
          <w:iCs w:val="1"/>
          <w:color w:val="auto"/>
        </w:rPr>
        <w:t>доказани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4 193 581 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Блок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вероятни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6 859 321 </w:t>
      </w:r>
      <w:r>
        <w:rPr>
          <w:rFonts w:ascii="Times New Roman" w:cs="Times New Roman" w:eastAsia="Times New Roman" w:hAnsi="Times New Roman"/>
          <w:sz w:val="24"/>
          <w:szCs w:val="24"/>
          <w:i w:val="1"/>
          <w:iCs w:val="1"/>
          <w:color w:val="auto"/>
        </w:rPr>
        <w:t>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и Блок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3</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прогнозни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ресурси - 6 338 029 m</w:t>
      </w:r>
      <w:r>
        <w:rPr>
          <w:rFonts w:ascii="Times New Roman" w:cs="Times New Roman" w:eastAsia="Times New Roman" w:hAnsi="Times New Roman"/>
          <w:sz w:val="32"/>
          <w:szCs w:val="32"/>
          <w:i w:val="1"/>
          <w:iCs w:val="1"/>
          <w:color w:val="auto"/>
          <w:vertAlign w:val="superscript"/>
        </w:rPr>
        <w:t>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по състояние към</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30.04.2015</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w:t>
      </w:r>
    </w:p>
    <w:p>
      <w:pPr>
        <w:spacing w:after="0" w:line="3" w:lineRule="exact"/>
        <w:rPr>
          <w:rFonts w:ascii="Times New Roman" w:cs="Times New Roman" w:eastAsia="Times New Roman" w:hAnsi="Times New Roman"/>
          <w:sz w:val="24"/>
          <w:szCs w:val="24"/>
          <w:color w:val="auto"/>
        </w:rPr>
      </w:pPr>
    </w:p>
    <w:p>
      <w:pPr>
        <w:ind w:left="560"/>
        <w:spacing w:after="0" w:line="1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Обемът на откривката за находището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Запасите са изчислени за два хоризонта</w:t>
      </w:r>
    </w:p>
    <w:p>
      <w:pPr>
        <w:jc w:val="both"/>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горен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и долен (II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color w:val="auto"/>
        </w:rPr>
        <w:t>). Средната дебелина за горния хоризонт е 17,45 m за Блок 1, 14,88 m за Блок 2 и 14,88 m за Блок 3, а за долния хоризонт е съответно 17,97 m за Блок 1, 18,60 m за Блок 2 и</w:t>
      </w:r>
    </w:p>
    <w:p>
      <w:pPr>
        <w:spacing w:after="0" w:line="1" w:lineRule="exact"/>
        <w:rPr>
          <w:rFonts w:ascii="Times New Roman" w:cs="Times New Roman" w:eastAsia="Times New Roman" w:hAnsi="Times New Roman"/>
          <w:sz w:val="24"/>
          <w:szCs w:val="24"/>
          <w:color w:val="auto"/>
        </w:rPr>
      </w:pPr>
    </w:p>
    <w:p>
      <w:pPr>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17,50 m за Блок 3.</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Минераложка и петрографска характеристика</w:t>
      </w:r>
    </w:p>
    <w:p>
      <w:pPr>
        <w:spacing w:after="0" w:line="3" w:lineRule="exact"/>
        <w:rPr>
          <w:rFonts w:ascii="Times New Roman" w:cs="Times New Roman" w:eastAsia="Times New Roman" w:hAnsi="Times New Roman"/>
          <w:sz w:val="24"/>
          <w:szCs w:val="24"/>
          <w:color w:val="auto"/>
        </w:rPr>
      </w:pPr>
    </w:p>
    <w:p>
      <w:pPr>
        <w:ind w:firstLine="566"/>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изграждащи основната част от разреза на горния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хоризонт на Малопещенската свита, се характеризират със следните си особености:</w:t>
      </w:r>
    </w:p>
    <w:p>
      <w:pPr>
        <w:spacing w:after="0" w:line="1" w:lineRule="exact"/>
        <w:rPr>
          <w:rFonts w:ascii="Times New Roman" w:cs="Times New Roman" w:eastAsia="Times New Roman" w:hAnsi="Times New Roman"/>
          <w:sz w:val="24"/>
          <w:szCs w:val="24"/>
          <w:color w:val="auto"/>
        </w:rPr>
      </w:pPr>
    </w:p>
    <w:p>
      <w:pPr>
        <w:ind w:left="56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Минералният състав е както следва:</w:t>
      </w:r>
    </w:p>
    <w:p>
      <w:pPr>
        <w:ind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Първични минерали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кварц,</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плагиоклаз,</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калиев фелдшпат,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мусковит,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биотит,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хлорити,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скални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отломки, глинести минерали, калцит.;</w:t>
      </w:r>
    </w:p>
    <w:p>
      <w:pPr>
        <w:ind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 xml:space="preserve">Вторични минерали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глауконит,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зърна от фосфоросъдържащ минерал,</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пирит,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железни окиси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и хидроокиси.</w:t>
      </w:r>
    </w:p>
    <w:p>
      <w:pPr>
        <w:jc w:val="both"/>
        <w:ind w:firstLine="566"/>
        <w:spacing w:after="0" w:line="241"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 xml:space="preserve">Микроскопските изследвания </w:t>
      </w:r>
      <w:r>
        <w:rPr>
          <w:rFonts w:ascii="Times New Roman" w:cs="Times New Roman" w:eastAsia="Times New Roman" w:hAnsi="Times New Roman"/>
          <w:sz w:val="24"/>
          <w:szCs w:val="24"/>
          <w:color w:val="auto"/>
        </w:rPr>
        <w:t>свидетелствуват,</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че глауконитовите пясъчници от този</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хоризонт са изградени от теригенна компонента, спойка ( 15-20%) и от 25-30 до 50-60% автогенен глауконит. Разпределението на тези компоненти е неравномерно.</w:t>
      </w:r>
    </w:p>
    <w:p>
      <w:pPr>
        <w:spacing w:after="0" w:line="2" w:lineRule="exact"/>
        <w:rPr>
          <w:rFonts w:ascii="Times New Roman" w:cs="Times New Roman" w:eastAsia="Times New Roman" w:hAnsi="Times New Roman"/>
          <w:sz w:val="24"/>
          <w:szCs w:val="24"/>
          <w:color w:val="auto"/>
        </w:rPr>
      </w:pPr>
    </w:p>
    <w:p>
      <w:pPr>
        <w:jc w:val="both"/>
        <w:ind w:firstLine="566"/>
        <w:spacing w:after="0" w:line="25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Теригенните зърна имат разнопсамитови размери, вариращи от дребен псамит,(0,15-0,20 m) до едър груб псамит (1,5-1,6 mm), рядко до около 2 mm. Формата на зърната е разнообразна, ръбеста и полуръбеста за дребните фракции до полузаоблена при едрия и груб псамит. Сортировката на</w:t>
      </w:r>
    </w:p>
    <w:p>
      <w:pPr>
        <w:spacing w:after="0" w:line="178" w:lineRule="exact"/>
        <w:rPr>
          <w:sz w:val="20"/>
          <w:szCs w:val="20"/>
          <w:color w:val="auto"/>
        </w:rPr>
      </w:pPr>
    </w:p>
    <w:p>
      <w:pPr>
        <w:ind w:left="10200"/>
        <w:spacing w:after="0"/>
        <w:rPr>
          <w:sz w:val="20"/>
          <w:szCs w:val="20"/>
          <w:color w:val="auto"/>
        </w:rPr>
      </w:pPr>
      <w:r>
        <w:rPr>
          <w:rFonts w:ascii="Times New Roman" w:cs="Times New Roman" w:eastAsia="Times New Roman" w:hAnsi="Times New Roman"/>
          <w:sz w:val="20"/>
          <w:szCs w:val="20"/>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340"/>
          </w:cols>
          <w:pgMar w:left="1000" w:top="376" w:right="571" w:bottom="0" w:gutter="0" w:footer="0" w:header="0"/>
        </w:sectPr>
      </w:pPr>
    </w:p>
    <w:p>
      <w:pPr>
        <w:spacing w:after="0" w:line="2" w:lineRule="exact"/>
        <w:rPr>
          <w:sz w:val="20"/>
          <w:szCs w:val="20"/>
          <w:color w:val="auto"/>
        </w:rPr>
      </w:pPr>
    </w:p>
    <w:p>
      <w:pPr>
        <w:jc w:val="center"/>
        <w:ind w:right="670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2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340"/>
          </w:cols>
          <w:pgMar w:left="1000" w:top="376" w:right="57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5" w:lineRule="exact"/>
        <w:rPr>
          <w:sz w:val="20"/>
          <w:szCs w:val="20"/>
          <w:color w:val="auto"/>
        </w:rPr>
      </w:pPr>
    </w:p>
    <w:p>
      <w:pPr>
        <w:jc w:val="both"/>
        <w:ind w:left="9" w:right="60"/>
        <w:spacing w:after="0"/>
        <w:rPr>
          <w:sz w:val="20"/>
          <w:szCs w:val="20"/>
          <w:color w:val="auto"/>
        </w:rPr>
      </w:pPr>
      <w:r>
        <w:rPr>
          <w:rFonts w:ascii="Times New Roman" w:cs="Times New Roman" w:eastAsia="Times New Roman" w:hAnsi="Times New Roman"/>
          <w:sz w:val="24"/>
          <w:szCs w:val="24"/>
          <w:color w:val="auto"/>
        </w:rPr>
        <w:t>теригенния материал е лоша. Характерно за разпределението на скалообразуващите компоненти, е че едро-грубопсамитовите теригенни зърна са неравномерно разпределени („плуват”) сред дребно-среднозърнеста основна маса със спойка (матрикс).</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Теригенната компонента е с полимиктов състав. По-голямата част от нея е представена от минерални зърна: кварц (около 18%), фелдшпатови минерали (плагиоклаз и калиев фелдшпат) (16%). Наблюдават се и разнообразни скални късчета.</w:t>
      </w:r>
    </w:p>
    <w:p>
      <w:pPr>
        <w:ind w:left="569"/>
        <w:spacing w:after="0"/>
        <w:rPr>
          <w:sz w:val="20"/>
          <w:szCs w:val="20"/>
          <w:color w:val="auto"/>
        </w:rPr>
      </w:pPr>
      <w:r>
        <w:rPr>
          <w:rFonts w:ascii="Times New Roman" w:cs="Times New Roman" w:eastAsia="Times New Roman" w:hAnsi="Times New Roman"/>
          <w:sz w:val="24"/>
          <w:szCs w:val="24"/>
          <w:color w:val="auto"/>
        </w:rPr>
        <w:t>Кварцовите зърна са ръбести или неправилно заоблени.</w:t>
      </w:r>
    </w:p>
    <w:p>
      <w:pPr>
        <w:jc w:val="both"/>
        <w:ind w:left="9" w:right="60" w:firstLine="566"/>
        <w:spacing w:after="0" w:line="238" w:lineRule="auto"/>
        <w:rPr>
          <w:sz w:val="20"/>
          <w:szCs w:val="20"/>
          <w:color w:val="auto"/>
        </w:rPr>
      </w:pPr>
      <w:r>
        <w:rPr>
          <w:rFonts w:ascii="Times New Roman" w:cs="Times New Roman" w:eastAsia="Times New Roman" w:hAnsi="Times New Roman"/>
          <w:sz w:val="24"/>
          <w:szCs w:val="24"/>
          <w:color w:val="auto"/>
        </w:rPr>
        <w:t>Фелдшпатовите минерали са представени от плагиоклаз и калиев фелдшпат. Някои от плагиоклазовите зърна са частично или изцяло карбонатизирани.</w:t>
      </w:r>
    </w:p>
    <w:p>
      <w:pPr>
        <w:spacing w:after="0" w:line="1" w:lineRule="exact"/>
        <w:rPr>
          <w:sz w:val="20"/>
          <w:szCs w:val="20"/>
          <w:color w:val="auto"/>
        </w:rPr>
      </w:pPr>
    </w:p>
    <w:p>
      <w:pPr>
        <w:jc w:val="both"/>
        <w:ind w:left="9" w:right="60" w:firstLine="566"/>
        <w:spacing w:after="0" w:line="239" w:lineRule="auto"/>
        <w:rPr>
          <w:sz w:val="20"/>
          <w:szCs w:val="20"/>
          <w:color w:val="auto"/>
        </w:rPr>
      </w:pPr>
      <w:r>
        <w:rPr>
          <w:rFonts w:ascii="Times New Roman" w:cs="Times New Roman" w:eastAsia="Times New Roman" w:hAnsi="Times New Roman"/>
          <w:sz w:val="24"/>
          <w:szCs w:val="24"/>
          <w:i w:val="1"/>
          <w:iCs w:val="1"/>
          <w:color w:val="auto"/>
        </w:rPr>
        <w:t xml:space="preserve">Рентгеноструктурният анализ </w:t>
      </w:r>
      <w:r>
        <w:rPr>
          <w:rFonts w:ascii="Times New Roman" w:cs="Times New Roman" w:eastAsia="Times New Roman" w:hAnsi="Times New Roman"/>
          <w:sz w:val="24"/>
          <w:szCs w:val="24"/>
          <w:color w:val="auto"/>
        </w:rPr>
        <w:t>на глауконитовите пясъчници от този хоризонт свидетелсвува</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за следния минерален състав: глауконит - 53%, кварц -18%;калцит – 9%; албит - 10%; микроклин – 6%; гетит – 3%.</w:t>
      </w:r>
    </w:p>
    <w:p>
      <w:pPr>
        <w:spacing w:after="0" w:line="1" w:lineRule="exact"/>
        <w:rPr>
          <w:sz w:val="20"/>
          <w:szCs w:val="20"/>
          <w:color w:val="auto"/>
        </w:rPr>
      </w:pPr>
    </w:p>
    <w:p>
      <w:pPr>
        <w:jc w:val="both"/>
        <w:ind w:left="9" w:right="60" w:firstLine="566"/>
        <w:spacing w:after="0" w:line="241" w:lineRule="auto"/>
        <w:rPr>
          <w:sz w:val="20"/>
          <w:szCs w:val="20"/>
          <w:color w:val="auto"/>
        </w:rPr>
      </w:pPr>
      <w:r>
        <w:rPr>
          <w:rFonts w:ascii="Times New Roman" w:cs="Times New Roman" w:eastAsia="Times New Roman" w:hAnsi="Times New Roman"/>
          <w:sz w:val="24"/>
          <w:szCs w:val="24"/>
          <w:b w:val="1"/>
          <w:bCs w:val="1"/>
          <w:i w:val="1"/>
          <w:iCs w:val="1"/>
          <w:color w:val="auto"/>
        </w:rPr>
        <w:t xml:space="preserve">Глауконитът </w:t>
      </w:r>
      <w:r>
        <w:rPr>
          <w:rFonts w:ascii="Times New Roman" w:cs="Times New Roman" w:eastAsia="Times New Roman" w:hAnsi="Times New Roman"/>
          <w:sz w:val="24"/>
          <w:szCs w:val="24"/>
          <w:color w:val="auto"/>
        </w:rPr>
        <w:t>(K, H</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color w:val="auto"/>
        </w:rPr>
        <w:t>O)(Fe, Mg, Al)</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color w:val="auto"/>
        </w:rPr>
        <w:t>[(Al, Si)Si</w:t>
      </w:r>
      <w:r>
        <w:rPr>
          <w:rFonts w:ascii="Times New Roman" w:cs="Times New Roman" w:eastAsia="Times New Roman" w:hAnsi="Times New Roman"/>
          <w:sz w:val="16"/>
          <w:szCs w:val="16"/>
          <w:color w:val="auto"/>
        </w:rPr>
        <w:t>3</w:t>
      </w:r>
      <w:r>
        <w:rPr>
          <w:rFonts w:ascii="Times New Roman" w:cs="Times New Roman" w:eastAsia="Times New Roman" w:hAnsi="Times New Roman"/>
          <w:sz w:val="24"/>
          <w:szCs w:val="24"/>
          <w:color w:val="auto"/>
        </w:rPr>
        <w:t>O</w:t>
      </w:r>
      <w:r>
        <w:rPr>
          <w:rFonts w:ascii="Times New Roman" w:cs="Times New Roman" w:eastAsia="Times New Roman" w:hAnsi="Times New Roman"/>
          <w:sz w:val="16"/>
          <w:szCs w:val="16"/>
          <w:color w:val="auto"/>
        </w:rPr>
        <w:t>10</w:t>
      </w:r>
      <w:r>
        <w:rPr>
          <w:rFonts w:ascii="Times New Roman" w:cs="Times New Roman" w:eastAsia="Times New Roman" w:hAnsi="Times New Roman"/>
          <w:sz w:val="24"/>
          <w:szCs w:val="24"/>
          <w:color w:val="auto"/>
        </w:rPr>
        <w:t>](OH)</w:t>
      </w:r>
      <w:r>
        <w:rPr>
          <w:rFonts w:ascii="Times New Roman" w:cs="Times New Roman" w:eastAsia="Times New Roman" w:hAnsi="Times New Roman"/>
          <w:sz w:val="16"/>
          <w:szCs w:val="16"/>
          <w:color w:val="auto"/>
        </w:rPr>
        <w:t>2</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формира свежи зелени до наситено</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тревистозелени зърна, развити като автоморфни минерали, а при някои прозира и псевдоморфоза по първични теригенни зърна.</w:t>
      </w:r>
    </w:p>
    <w:p>
      <w:pPr>
        <w:spacing w:after="0" w:line="3"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Глауконитовите индивиди са силно заоблени, до овални сечения, не рядко със слабо удължена форма на зърната. Наблюдават се изключително рядко и зърна с полуръбести очертания. Под микроскоп глауконитовите зърна показват микролюспест строеж и ясна агрегатна поляризация. Размерите на зърната варират от 0.06 mm до около 0.3-0.7 mm, като преобладават зърна с размери между 0.3 mm и 0.6 mm. В някои от глауконитите се наблюдава иглест руден минерал. Глауконитът е разпределен неравномерно в обема на скалата.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При петрографските изследвания са констатирани единични зърна от фосфорсъдържащ минерал, оцветени в бледокафеникаво, изотропни. Формата им е предимно неправилно заоблена. Размерите на зърната достигат до около 0.4 – 0.6 mm. Наблюдават се в асоциация с глауконитови зърна.</w:t>
      </w:r>
    </w:p>
    <w:p>
      <w:pPr>
        <w:jc w:val="both"/>
        <w:ind w:left="9" w:right="60" w:firstLine="558"/>
        <w:spacing w:after="0"/>
        <w:tabs>
          <w:tab w:leader="none" w:pos="868" w:val="left"/>
        </w:tabs>
        <w:numPr>
          <w:ilvl w:val="1"/>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скалата се установява присъствие на карбонатен минерал (калцит), развит петнесто в скалата, запълващ единични междузърнести пространства. Базирайки се на рентгеноструктурните изследвания, количеството му като цяло е около 9%.</w:t>
      </w:r>
    </w:p>
    <w:p>
      <w:pPr>
        <w:jc w:val="both"/>
        <w:ind w:left="9"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Спойката е контактно-порова и е неравномерно разпределена. По визуална оценка е около 15-20 % от обема на скалата. Съставена е от интимно примесени пелитови глинести минерали и микрозърнест калцит.</w:t>
      </w:r>
    </w:p>
    <w:p>
      <w:pPr>
        <w:ind w:left="569" w:right="60"/>
        <w:spacing w:after="0" w:line="20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Минералният състав от II</w:t>
      </w:r>
      <w:r>
        <w:rPr>
          <w:rFonts w:ascii="Times New Roman" w:cs="Times New Roman" w:eastAsia="Times New Roman" w:hAnsi="Times New Roman"/>
          <w:sz w:val="32"/>
          <w:szCs w:val="32"/>
          <w:color w:val="auto"/>
          <w:vertAlign w:val="superscript"/>
        </w:rPr>
        <w:t>-ри</w:t>
      </w:r>
      <w:r>
        <w:rPr>
          <w:rFonts w:ascii="Times New Roman" w:cs="Times New Roman" w:eastAsia="Times New Roman" w:hAnsi="Times New Roman"/>
          <w:sz w:val="24"/>
          <w:szCs w:val="24"/>
          <w:color w:val="auto"/>
        </w:rPr>
        <w:t xml:space="preserve"> хоризонт е близък до този от I</w:t>
      </w:r>
      <w:r>
        <w:rPr>
          <w:rFonts w:ascii="Times New Roman" w:cs="Times New Roman" w:eastAsia="Times New Roman" w:hAnsi="Times New Roman"/>
          <w:sz w:val="32"/>
          <w:szCs w:val="32"/>
          <w:color w:val="auto"/>
          <w:vertAlign w:val="superscript"/>
        </w:rPr>
        <w:t>-ви</w:t>
      </w:r>
      <w:r>
        <w:rPr>
          <w:rFonts w:ascii="Times New Roman" w:cs="Times New Roman" w:eastAsia="Times New Roman" w:hAnsi="Times New Roman"/>
          <w:sz w:val="24"/>
          <w:szCs w:val="24"/>
          <w:color w:val="auto"/>
        </w:rPr>
        <w:t xml:space="preserve"> хоризонт и е представен от: </w:t>
      </w:r>
      <w:r>
        <w:rPr>
          <w:rFonts w:ascii="Times New Roman" w:cs="Times New Roman" w:eastAsia="Times New Roman" w:hAnsi="Times New Roman"/>
          <w:sz w:val="24"/>
          <w:szCs w:val="24"/>
          <w:i w:val="1"/>
          <w:iCs w:val="1"/>
          <w:color w:val="auto"/>
        </w:rPr>
        <w:t>Първични минерали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кварц;</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плагиоклаз;</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калиев фелдшпат;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бяла слюда</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(мусковит);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биотит;</w:t>
      </w:r>
    </w:p>
    <w:p>
      <w:pPr>
        <w:spacing w:after="0" w:line="1" w:lineRule="exact"/>
        <w:rPr>
          <w:rFonts w:ascii="Times New Roman" w:cs="Times New Roman" w:eastAsia="Times New Roman" w:hAnsi="Times New Roman"/>
          <w:sz w:val="24"/>
          <w:szCs w:val="24"/>
          <w:color w:val="auto"/>
        </w:rPr>
      </w:pPr>
    </w:p>
    <w:p>
      <w:pPr>
        <w:ind w:left="9"/>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хлорит; скални отломки; глинести минерали; калцит; гранат; циркон.</w:t>
      </w:r>
    </w:p>
    <w:p>
      <w:pPr>
        <w:ind w:left="9" w:right="60" w:firstLine="566"/>
        <w:spacing w:after="0" w:line="241"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i w:val="1"/>
          <w:iCs w:val="1"/>
          <w:color w:val="auto"/>
        </w:rPr>
        <w:t>Вторични минерали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глауконит;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фосфор-съдържащ минерал;</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пирит;</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смесенослойни глинесто-хидрослюдести продукти; железни оксиди и хидрооксиди.</w:t>
      </w:r>
    </w:p>
    <w:p>
      <w:pPr>
        <w:spacing w:after="0" w:line="1" w:lineRule="exact"/>
        <w:rPr>
          <w:rFonts w:ascii="Times New Roman" w:cs="Times New Roman" w:eastAsia="Times New Roman" w:hAnsi="Times New Roman"/>
          <w:sz w:val="24"/>
          <w:szCs w:val="24"/>
          <w:color w:val="auto"/>
        </w:rPr>
      </w:pPr>
    </w:p>
    <w:p>
      <w:pPr>
        <w:jc w:val="both"/>
        <w:ind w:left="9"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Глауконитовите пясъчници са изградени от теригенна компонента, спойка (8-10%) и около 55-60% автогенен глауконит. Разпространението на компонентите е неравномерно. Съдържанието на глауконита, съдейки от минераложките изследвания на материала от този хоризонт е около 68%, на кварца- 12%; калцита – 6%, албита -5%; микроклина-3%; гетита – 3%.</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Прави впечатление, че за разлика от горния хоризонт, тук съдържанието, както на кварца, така</w:t>
      </w:r>
    </w:p>
    <w:p>
      <w:pPr>
        <w:ind w:left="189" w:hanging="189"/>
        <w:spacing w:after="0"/>
        <w:tabs>
          <w:tab w:leader="none" w:pos="189"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 фелдшпатите е по-малко за сметка на глауконита.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 xml:space="preserve">Теригенната компонента има разнопсамитов състав. Представена е от дребен псамит (0.15-0.20 mm) до едропсамитови късчета (размери до 2.3 mm), като преобладаващи са късчета с размери около 0.4-0.6 до 0.8-1.0 mm. Формата на зърната е разнообразна – ръбеста и полуръбеста за дребните фракции до полузаоблена и полуръбеста при едрия псамит . В ограничени участъци се наблюдават малки дифузионни полета (повлекла), формирани от дребнопсамитови зърна и микролюспести глинести минерали . Сортировката на теригенния материал е лоша. </w:t>
      </w:r>
      <w:r>
        <w:rPr>
          <w:rFonts w:ascii="Times New Roman" w:cs="Times New Roman" w:eastAsia="Times New Roman" w:hAnsi="Times New Roman"/>
          <w:sz w:val="22"/>
          <w:szCs w:val="22"/>
          <w:color w:val="auto"/>
        </w:rPr>
        <w:t>Теригенната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2"/>
          <w:szCs w:val="22"/>
          <w:color w:val="auto"/>
        </w:rPr>
        <w:t xml:space="preserve">компонента е съставена от минерални зърна и </w:t>
      </w:r>
      <w:r>
        <w:rPr>
          <w:rFonts w:ascii="Times New Roman" w:cs="Times New Roman" w:eastAsia="Times New Roman" w:hAnsi="Times New Roman"/>
          <w:sz w:val="24"/>
          <w:szCs w:val="24"/>
          <w:color w:val="auto"/>
        </w:rPr>
        <w:t>разнообразни скални късчета</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Минералните зърна са</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4"/>
          <w:szCs w:val="24"/>
          <w:color w:val="auto"/>
        </w:rPr>
        <w:t>представени предимно от кварц и фелдшпатови минерали, но в по-малки количества в сравение с горния хоризонт.</w:t>
      </w:r>
    </w:p>
    <w:p>
      <w:pPr>
        <w:jc w:val="right"/>
        <w:ind w:right="60"/>
        <w:spacing w:after="0"/>
        <w:rPr>
          <w:sz w:val="20"/>
          <w:szCs w:val="20"/>
          <w:color w:val="auto"/>
        </w:rPr>
      </w:pPr>
      <w:r>
        <w:rPr>
          <w:rFonts w:ascii="Times New Roman" w:cs="Times New Roman" w:eastAsia="Times New Roman" w:hAnsi="Times New Roman"/>
          <w:sz w:val="24"/>
          <w:szCs w:val="24"/>
          <w:color w:val="auto"/>
        </w:rPr>
        <w:t>Кварцът се среща в неправилно заоблени до ръбести зърна, обикновенно бистри, с вълновидно</w:t>
      </w:r>
    </w:p>
    <w:p>
      <w:pPr>
        <w:spacing w:after="0" w:line="19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или нормално потъмнение.</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Плагиоклазът формира плочести или неправилни зърна, по които се наблюдава частично до напълно карбонатизиране.</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 xml:space="preserve">Глауконитът формира свежи, зелени до наситено тъмносивозелени автогенни зърна. Срещат се и единични глауконити, при които прозира псевдоморфоза по първични теригенни зърна. Глауконитовите зърна имат заоблени до овални сечения, по-рядко са със слабо удължена или неправилна форма, но винаги се характеризират с </w:t>
      </w:r>
      <w:r>
        <w:rPr>
          <w:rFonts w:ascii="Times New Roman" w:cs="Times New Roman" w:eastAsia="Times New Roman" w:hAnsi="Times New Roman"/>
          <w:sz w:val="24"/>
          <w:szCs w:val="24"/>
          <w:b w:val="1"/>
          <w:bCs w:val="1"/>
          <w:color w:val="auto"/>
        </w:rPr>
        <w:t>микролюспест строеж</w:t>
      </w:r>
      <w:r>
        <w:rPr>
          <w:rFonts w:ascii="Times New Roman" w:cs="Times New Roman" w:eastAsia="Times New Roman" w:hAnsi="Times New Roman"/>
          <w:sz w:val="24"/>
          <w:szCs w:val="24"/>
          <w:color w:val="auto"/>
        </w:rPr>
        <w:t xml:space="preserve"> и </w:t>
      </w:r>
      <w:r>
        <w:rPr>
          <w:rFonts w:ascii="Times New Roman" w:cs="Times New Roman" w:eastAsia="Times New Roman" w:hAnsi="Times New Roman"/>
          <w:sz w:val="24"/>
          <w:szCs w:val="24"/>
          <w:b w:val="1"/>
          <w:bCs w:val="1"/>
          <w:color w:val="auto"/>
        </w:rPr>
        <w:t>ясна агрегатна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поляризация</w:t>
      </w:r>
      <w:r>
        <w:rPr>
          <w:rFonts w:ascii="Times New Roman" w:cs="Times New Roman" w:eastAsia="Times New Roman" w:hAnsi="Times New Roman"/>
          <w:sz w:val="24"/>
          <w:szCs w:val="24"/>
          <w:color w:val="auto"/>
        </w:rPr>
        <w:t>. Размерите на зърната варират от</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0.06 mm</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до около</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0.8</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mm, като преобладават</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зърната с размери между 0.3 mm и 0.6 mm. Глауконитът се наблюдава обикновено като струпвания от плътно прилепени едно към друго глауконитови зърна, формиращи глауконитови полета (достигащи до около 7-8 mm), в които „плуват” единични теригенни зърна. Микроскопски количеството на глауконита е около 40 %, а съдейки от рентгеноструктурния анализ той е не по-малко от 60-70%.</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Много добре се маркират единични неправилно заоблени, бледокафеникави, изотропни зърна от фосфорсъдържащ минерал, развит в асоциация с глауконитовите зърна.</w:t>
      </w:r>
    </w:p>
    <w:p>
      <w:pPr>
        <w:jc w:val="both"/>
        <w:ind w:right="60" w:firstLine="566"/>
        <w:spacing w:after="0" w:line="239" w:lineRule="auto"/>
        <w:rPr>
          <w:sz w:val="20"/>
          <w:szCs w:val="20"/>
          <w:color w:val="auto"/>
        </w:rPr>
      </w:pPr>
      <w:r>
        <w:rPr>
          <w:rFonts w:ascii="Times New Roman" w:cs="Times New Roman" w:eastAsia="Times New Roman" w:hAnsi="Times New Roman"/>
          <w:sz w:val="24"/>
          <w:szCs w:val="24"/>
          <w:color w:val="auto"/>
        </w:rPr>
        <w:t>Спойката е биминерална; контактно-порова до контактна. Съставена е от слабо разкристализирали микролюспести глинести минерали и калцит. Обемът на спойката по визуална оценка е около 8-10 %. Карбонатната спойка има петнесто разпределение и представлява изолирани или свързани пори, запълнени от бистър калцит.</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i w:val="1"/>
          <w:iCs w:val="1"/>
          <w:color w:val="auto"/>
        </w:rPr>
        <w:t>Химичен състав</w:t>
      </w:r>
    </w:p>
    <w:p>
      <w:pPr>
        <w:spacing w:after="0" w:line="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Естественият природен глауконитов минерал има следния състав:</w:t>
      </w:r>
    </w:p>
    <w:tbl>
      <w:tblPr>
        <w:tblLayout w:type="fixed"/>
        <w:tblInd w:w="590" w:type="dxa"/>
        <w:tblCellMar>
          <w:top w:w="0" w:type="dxa"/>
          <w:left w:w="0" w:type="dxa"/>
          <w:bottom w:w="0" w:type="dxa"/>
          <w:right w:w="0" w:type="dxa"/>
        </w:tblCellMar>
      </w:tblPr>
      <w:tr>
        <w:trPr>
          <w:trHeight w:val="301"/>
        </w:trPr>
        <w:tc>
          <w:tcPr>
            <w:tcW w:w="10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360" w:type="dxa"/>
            <w:vAlign w:val="bottom"/>
            <w:gridSpan w:val="3"/>
          </w:tcPr>
          <w:p>
            <w:pPr>
              <w:ind w:left="20"/>
              <w:spacing w:after="0"/>
              <w:rPr>
                <w:sz w:val="20"/>
                <w:szCs w:val="20"/>
                <w:color w:val="auto"/>
              </w:rPr>
            </w:pPr>
            <w:r>
              <w:rPr>
                <w:rFonts w:ascii="Times New Roman" w:cs="Times New Roman" w:eastAsia="Times New Roman" w:hAnsi="Times New Roman"/>
                <w:sz w:val="24"/>
                <w:szCs w:val="24"/>
                <w:color w:val="auto"/>
                <w:w w:val="99"/>
              </w:rPr>
              <w:t>Таблица № 1</w:t>
            </w:r>
          </w:p>
        </w:tc>
      </w:tr>
      <w:tr>
        <w:trPr>
          <w:trHeight w:val="254"/>
        </w:trPr>
        <w:tc>
          <w:tcPr>
            <w:tcW w:w="1040" w:type="dxa"/>
            <w:vAlign w:val="bottom"/>
            <w:tcBorders>
              <w:top w:val="single" w:sz="8" w:color="auto"/>
              <w:left w:val="single" w:sz="8" w:color="auto"/>
              <w:bottom w:val="single" w:sz="8" w:color="auto"/>
              <w:right w:val="single" w:sz="8" w:color="auto"/>
            </w:tcBorders>
          </w:tcPr>
          <w:p>
            <w:pPr>
              <w:ind w:left="340"/>
              <w:spacing w:after="0" w:line="245" w:lineRule="exact"/>
              <w:rPr>
                <w:sz w:val="20"/>
                <w:szCs w:val="20"/>
                <w:color w:val="auto"/>
              </w:rPr>
            </w:pPr>
            <w:r>
              <w:rPr>
                <w:rFonts w:ascii="Times New Roman" w:cs="Times New Roman" w:eastAsia="Times New Roman" w:hAnsi="Times New Roman"/>
                <w:sz w:val="20"/>
                <w:szCs w:val="20"/>
                <w:b w:val="1"/>
                <w:bCs w:val="1"/>
                <w:color w:val="auto"/>
              </w:rPr>
              <w:t>SiO</w:t>
            </w:r>
            <w:r>
              <w:rPr>
                <w:rFonts w:ascii="Times New Roman" w:cs="Times New Roman" w:eastAsia="Times New Roman" w:hAnsi="Times New Roman"/>
                <w:sz w:val="26"/>
                <w:szCs w:val="26"/>
                <w:b w:val="1"/>
                <w:bCs w:val="1"/>
                <w:color w:val="auto"/>
                <w:vertAlign w:val="subscript"/>
              </w:rPr>
              <w:t>2</w:t>
            </w: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0"/>
              </w:rPr>
              <w:t>Al</w:t>
            </w:r>
            <w:r>
              <w:rPr>
                <w:rFonts w:ascii="Times New Roman" w:cs="Times New Roman" w:eastAsia="Times New Roman" w:hAnsi="Times New Roman"/>
                <w:sz w:val="26"/>
                <w:szCs w:val="26"/>
                <w:b w:val="1"/>
                <w:bCs w:val="1"/>
                <w:color w:val="auto"/>
                <w:w w:val="90"/>
                <w:vertAlign w:val="subscript"/>
              </w:rPr>
              <w:t>2</w:t>
            </w:r>
            <w:r>
              <w:rPr>
                <w:rFonts w:ascii="Times New Roman" w:cs="Times New Roman" w:eastAsia="Times New Roman" w:hAnsi="Times New Roman"/>
                <w:sz w:val="20"/>
                <w:szCs w:val="20"/>
                <w:b w:val="1"/>
                <w:bCs w:val="1"/>
                <w:color w:val="auto"/>
                <w:w w:val="90"/>
              </w:rPr>
              <w:t>O</w:t>
            </w:r>
            <w:r>
              <w:rPr>
                <w:rFonts w:ascii="Times New Roman" w:cs="Times New Roman" w:eastAsia="Times New Roman" w:hAnsi="Times New Roman"/>
                <w:sz w:val="26"/>
                <w:szCs w:val="26"/>
                <w:b w:val="1"/>
                <w:bCs w:val="1"/>
                <w:color w:val="auto"/>
                <w:w w:val="90"/>
                <w:vertAlign w:val="subscript"/>
              </w:rPr>
              <w:t>3</w:t>
            </w:r>
          </w:p>
        </w:tc>
        <w:tc>
          <w:tcPr>
            <w:tcW w:w="102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2"/>
              </w:rPr>
              <w:t>Fe</w:t>
            </w:r>
            <w:r>
              <w:rPr>
                <w:rFonts w:ascii="Times New Roman" w:cs="Times New Roman" w:eastAsia="Times New Roman" w:hAnsi="Times New Roman"/>
                <w:sz w:val="26"/>
                <w:szCs w:val="26"/>
                <w:b w:val="1"/>
                <w:bCs w:val="1"/>
                <w:color w:val="auto"/>
                <w:w w:val="92"/>
                <w:vertAlign w:val="subscript"/>
              </w:rPr>
              <w:t>2</w:t>
            </w:r>
            <w:r>
              <w:rPr>
                <w:rFonts w:ascii="Times New Roman" w:cs="Times New Roman" w:eastAsia="Times New Roman" w:hAnsi="Times New Roman"/>
                <w:sz w:val="20"/>
                <w:szCs w:val="20"/>
                <w:b w:val="1"/>
                <w:bCs w:val="1"/>
                <w:color w:val="auto"/>
                <w:w w:val="92"/>
              </w:rPr>
              <w:t>О</w:t>
            </w:r>
            <w:r>
              <w:rPr>
                <w:rFonts w:ascii="Times New Roman" w:cs="Times New Roman" w:eastAsia="Times New Roman" w:hAnsi="Times New Roman"/>
                <w:sz w:val="26"/>
                <w:szCs w:val="26"/>
                <w:b w:val="1"/>
                <w:bCs w:val="1"/>
                <w:color w:val="auto"/>
                <w:w w:val="92"/>
                <w:vertAlign w:val="subscript"/>
              </w:rPr>
              <w:t>3</w:t>
            </w:r>
          </w:p>
        </w:tc>
        <w:tc>
          <w:tcPr>
            <w:tcW w:w="1020" w:type="dxa"/>
            <w:vAlign w:val="bottom"/>
            <w:tcBorders>
              <w:top w:val="single" w:sz="8" w:color="auto"/>
              <w:bottom w:val="single" w:sz="8" w:color="auto"/>
              <w:right w:val="single" w:sz="8" w:color="auto"/>
            </w:tcBorders>
          </w:tcPr>
          <w:p>
            <w:pPr>
              <w:ind w:left="280"/>
              <w:spacing w:after="0"/>
              <w:rPr>
                <w:sz w:val="20"/>
                <w:szCs w:val="20"/>
                <w:color w:val="auto"/>
              </w:rPr>
            </w:pPr>
            <w:r>
              <w:rPr>
                <w:rFonts w:ascii="Times New Roman" w:cs="Times New Roman" w:eastAsia="Times New Roman" w:hAnsi="Times New Roman"/>
                <w:sz w:val="20"/>
                <w:szCs w:val="20"/>
                <w:b w:val="1"/>
                <w:bCs w:val="1"/>
                <w:color w:val="auto"/>
              </w:rPr>
              <w:t>MgO</w:t>
            </w:r>
          </w:p>
        </w:tc>
        <w:tc>
          <w:tcPr>
            <w:tcW w:w="1000" w:type="dxa"/>
            <w:vAlign w:val="bottom"/>
            <w:tcBorders>
              <w:top w:val="single" w:sz="8" w:color="auto"/>
              <w:bottom w:val="single" w:sz="8" w:color="auto"/>
              <w:right w:val="single" w:sz="8" w:color="auto"/>
            </w:tcBorders>
          </w:tcPr>
          <w:p>
            <w:pPr>
              <w:jc w:val="right"/>
              <w:ind w:right="201"/>
              <w:spacing w:after="0"/>
              <w:rPr>
                <w:sz w:val="20"/>
                <w:szCs w:val="20"/>
                <w:color w:val="auto"/>
              </w:rPr>
            </w:pPr>
            <w:r>
              <w:rPr>
                <w:rFonts w:ascii="Times New Roman" w:cs="Times New Roman" w:eastAsia="Times New Roman" w:hAnsi="Times New Roman"/>
                <w:sz w:val="20"/>
                <w:szCs w:val="20"/>
                <w:b w:val="1"/>
                <w:bCs w:val="1"/>
                <w:color w:val="auto"/>
              </w:rPr>
              <w:t>CaO</w:t>
            </w:r>
          </w:p>
        </w:tc>
        <w:tc>
          <w:tcPr>
            <w:tcW w:w="1020" w:type="dxa"/>
            <w:vAlign w:val="bottom"/>
            <w:tcBorders>
              <w:top w:val="single" w:sz="8" w:color="auto"/>
              <w:bottom w:val="single" w:sz="8" w:color="auto"/>
              <w:right w:val="single" w:sz="8" w:color="auto"/>
            </w:tcBorders>
          </w:tcPr>
          <w:p>
            <w:pPr>
              <w:ind w:left="320"/>
              <w:spacing w:after="0" w:line="245" w:lineRule="exact"/>
              <w:rPr>
                <w:sz w:val="20"/>
                <w:szCs w:val="20"/>
                <w:color w:val="auto"/>
              </w:rPr>
            </w:pPr>
            <w:r>
              <w:rPr>
                <w:rFonts w:ascii="Times New Roman" w:cs="Times New Roman" w:eastAsia="Times New Roman" w:hAnsi="Times New Roman"/>
                <w:sz w:val="20"/>
                <w:szCs w:val="20"/>
                <w:b w:val="1"/>
                <w:bCs w:val="1"/>
                <w:color w:val="auto"/>
              </w:rPr>
              <w:t>K</w:t>
            </w:r>
            <w:r>
              <w:rPr>
                <w:rFonts w:ascii="Times New Roman" w:cs="Times New Roman" w:eastAsia="Times New Roman" w:hAnsi="Times New Roman"/>
                <w:sz w:val="26"/>
                <w:szCs w:val="26"/>
                <w:b w:val="1"/>
                <w:bCs w:val="1"/>
                <w:color w:val="auto"/>
                <w:vertAlign w:val="subscript"/>
              </w:rPr>
              <w:t>2</w:t>
            </w:r>
            <w:r>
              <w:rPr>
                <w:rFonts w:ascii="Times New Roman" w:cs="Times New Roman" w:eastAsia="Times New Roman" w:hAnsi="Times New Roman"/>
                <w:sz w:val="20"/>
                <w:szCs w:val="20"/>
                <w:b w:val="1"/>
                <w:bCs w:val="1"/>
                <w:color w:val="auto"/>
              </w:rPr>
              <w:t>O</w:t>
            </w: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94"/>
              </w:rPr>
              <w:t>Na</w:t>
            </w:r>
            <w:r>
              <w:rPr>
                <w:rFonts w:ascii="Times New Roman" w:cs="Times New Roman" w:eastAsia="Times New Roman" w:hAnsi="Times New Roman"/>
                <w:sz w:val="26"/>
                <w:szCs w:val="26"/>
                <w:b w:val="1"/>
                <w:bCs w:val="1"/>
                <w:color w:val="auto"/>
                <w:w w:val="94"/>
                <w:vertAlign w:val="subscript"/>
              </w:rPr>
              <w:t>2</w:t>
            </w:r>
            <w:r>
              <w:rPr>
                <w:rFonts w:ascii="Times New Roman" w:cs="Times New Roman" w:eastAsia="Times New Roman" w:hAnsi="Times New Roman"/>
                <w:sz w:val="20"/>
                <w:szCs w:val="20"/>
                <w:b w:val="1"/>
                <w:bCs w:val="1"/>
                <w:color w:val="auto"/>
                <w:w w:val="94"/>
              </w:rPr>
              <w:t>O</w:t>
            </w:r>
          </w:p>
        </w:tc>
        <w:tc>
          <w:tcPr>
            <w:tcW w:w="780" w:type="dxa"/>
            <w:vAlign w:val="bottom"/>
            <w:tcBorders>
              <w:top w:val="single" w:sz="8" w:color="auto"/>
              <w:bottom w:val="single" w:sz="8" w:color="auto"/>
            </w:tcBorders>
          </w:tcPr>
          <w:p>
            <w:pPr>
              <w:ind w:left="280"/>
              <w:spacing w:after="0"/>
              <w:rPr>
                <w:sz w:val="20"/>
                <w:szCs w:val="20"/>
                <w:color w:val="auto"/>
              </w:rPr>
            </w:pPr>
            <w:r>
              <w:rPr>
                <w:rFonts w:ascii="Times New Roman" w:cs="Times New Roman" w:eastAsia="Times New Roman" w:hAnsi="Times New Roman"/>
                <w:sz w:val="20"/>
                <w:szCs w:val="20"/>
                <w:b w:val="1"/>
                <w:bCs w:val="1"/>
                <w:color w:val="auto"/>
              </w:rPr>
              <w:t>MnO</w:t>
            </w:r>
          </w:p>
        </w:tc>
        <w:tc>
          <w:tcPr>
            <w:tcW w:w="240" w:type="dxa"/>
            <w:vAlign w:val="bottom"/>
            <w:tcBorders>
              <w:top w:val="single" w:sz="8" w:color="auto"/>
              <w:bottom w:val="single" w:sz="8" w:color="auto"/>
              <w:right w:val="single" w:sz="8" w:color="auto"/>
            </w:tcBorders>
          </w:tcPr>
          <w:p>
            <w:pPr>
              <w:spacing w:after="0"/>
              <w:rPr>
                <w:sz w:val="22"/>
                <w:szCs w:val="22"/>
                <w:color w:val="auto"/>
              </w:rPr>
            </w:pPr>
          </w:p>
        </w:tc>
        <w:tc>
          <w:tcPr>
            <w:tcW w:w="1000" w:type="dxa"/>
            <w:vAlign w:val="bottom"/>
            <w:tcBorders>
              <w:top w:val="single" w:sz="8" w:color="auto"/>
              <w:bottom w:val="single" w:sz="8" w:color="auto"/>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0"/>
                <w:szCs w:val="20"/>
                <w:b w:val="1"/>
                <w:bCs w:val="1"/>
                <w:color w:val="auto"/>
                <w:w w:val="88"/>
              </w:rPr>
              <w:t>P</w:t>
            </w:r>
            <w:r>
              <w:rPr>
                <w:rFonts w:ascii="Times New Roman" w:cs="Times New Roman" w:eastAsia="Times New Roman" w:hAnsi="Times New Roman"/>
                <w:sz w:val="26"/>
                <w:szCs w:val="26"/>
                <w:b w:val="1"/>
                <w:bCs w:val="1"/>
                <w:color w:val="auto"/>
                <w:w w:val="88"/>
                <w:vertAlign w:val="subscript"/>
              </w:rPr>
              <w:t>2</w:t>
            </w:r>
            <w:r>
              <w:rPr>
                <w:rFonts w:ascii="Times New Roman" w:cs="Times New Roman" w:eastAsia="Times New Roman" w:hAnsi="Times New Roman"/>
                <w:sz w:val="20"/>
                <w:szCs w:val="20"/>
                <w:b w:val="1"/>
                <w:bCs w:val="1"/>
                <w:color w:val="auto"/>
                <w:w w:val="88"/>
              </w:rPr>
              <w:t>O</w:t>
            </w:r>
            <w:r>
              <w:rPr>
                <w:rFonts w:ascii="Times New Roman" w:cs="Times New Roman" w:eastAsia="Times New Roman" w:hAnsi="Times New Roman"/>
                <w:sz w:val="26"/>
                <w:szCs w:val="26"/>
                <w:b w:val="1"/>
                <w:bCs w:val="1"/>
                <w:color w:val="auto"/>
                <w:w w:val="88"/>
                <w:vertAlign w:val="subscript"/>
              </w:rPr>
              <w:t>5</w:t>
            </w:r>
          </w:p>
        </w:tc>
        <w:tc>
          <w:tcPr>
            <w:tcW w:w="120" w:type="dxa"/>
            <w:vAlign w:val="bottom"/>
          </w:tcPr>
          <w:p>
            <w:pPr>
              <w:spacing w:after="0"/>
              <w:rPr>
                <w:sz w:val="22"/>
                <w:szCs w:val="22"/>
                <w:color w:val="auto"/>
              </w:rPr>
            </w:pPr>
          </w:p>
        </w:tc>
      </w:tr>
      <w:tr>
        <w:trPr>
          <w:trHeight w:val="225"/>
        </w:trPr>
        <w:tc>
          <w:tcPr>
            <w:tcW w:w="1040" w:type="dxa"/>
            <w:vAlign w:val="bottom"/>
            <w:tcBorders>
              <w:left w:val="single" w:sz="8" w:color="auto"/>
              <w:bottom w:val="single" w:sz="8" w:color="auto"/>
              <w:right w:val="single" w:sz="8" w:color="auto"/>
            </w:tcBorders>
          </w:tcPr>
          <w:p>
            <w:pPr>
              <w:ind w:left="340"/>
              <w:spacing w:after="0" w:line="216" w:lineRule="exact"/>
              <w:rPr>
                <w:sz w:val="20"/>
                <w:szCs w:val="20"/>
                <w:color w:val="auto"/>
              </w:rPr>
            </w:pPr>
            <w:r>
              <w:rPr>
                <w:rFonts w:ascii="Arial" w:cs="Arial" w:eastAsia="Arial" w:hAnsi="Arial"/>
                <w:sz w:val="20"/>
                <w:szCs w:val="20"/>
                <w:color w:val="auto"/>
              </w:rPr>
              <w:t>52.9</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11.8</w:t>
            </w:r>
          </w:p>
        </w:tc>
        <w:tc>
          <w:tcPr>
            <w:tcW w:w="1020" w:type="dxa"/>
            <w:vAlign w:val="bottom"/>
            <w:tcBorders>
              <w:bottom w:val="single" w:sz="8" w:color="auto"/>
              <w:right w:val="single" w:sz="8" w:color="auto"/>
            </w:tcBorders>
          </w:tcPr>
          <w:p>
            <w:pPr>
              <w:jc w:val="right"/>
              <w:ind w:right="221"/>
              <w:spacing w:after="0" w:line="216" w:lineRule="exact"/>
              <w:rPr>
                <w:sz w:val="20"/>
                <w:szCs w:val="20"/>
                <w:color w:val="auto"/>
              </w:rPr>
            </w:pPr>
            <w:r>
              <w:rPr>
                <w:rFonts w:ascii="Arial" w:cs="Arial" w:eastAsia="Arial" w:hAnsi="Arial"/>
                <w:sz w:val="20"/>
                <w:szCs w:val="20"/>
                <w:color w:val="auto"/>
              </w:rPr>
              <w:t>16.7</w:t>
            </w:r>
          </w:p>
        </w:tc>
        <w:tc>
          <w:tcPr>
            <w:tcW w:w="1020" w:type="dxa"/>
            <w:vAlign w:val="bottom"/>
            <w:tcBorders>
              <w:bottom w:val="single" w:sz="8" w:color="auto"/>
              <w:right w:val="single" w:sz="8" w:color="auto"/>
            </w:tcBorders>
          </w:tcPr>
          <w:p>
            <w:pPr>
              <w:ind w:left="320"/>
              <w:spacing w:after="0" w:line="216" w:lineRule="exact"/>
              <w:rPr>
                <w:sz w:val="20"/>
                <w:szCs w:val="20"/>
                <w:color w:val="auto"/>
              </w:rPr>
            </w:pPr>
            <w:r>
              <w:rPr>
                <w:rFonts w:ascii="Arial" w:cs="Arial" w:eastAsia="Arial" w:hAnsi="Arial"/>
                <w:sz w:val="20"/>
                <w:szCs w:val="20"/>
                <w:color w:val="auto"/>
              </w:rPr>
              <w:t>4.31</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0.82</w:t>
            </w:r>
          </w:p>
        </w:tc>
        <w:tc>
          <w:tcPr>
            <w:tcW w:w="1020" w:type="dxa"/>
            <w:vAlign w:val="bottom"/>
            <w:tcBorders>
              <w:bottom w:val="single" w:sz="8" w:color="auto"/>
              <w:right w:val="single" w:sz="8" w:color="auto"/>
            </w:tcBorders>
          </w:tcPr>
          <w:p>
            <w:pPr>
              <w:ind w:left="320"/>
              <w:spacing w:after="0" w:line="216" w:lineRule="exact"/>
              <w:rPr>
                <w:sz w:val="20"/>
                <w:szCs w:val="20"/>
                <w:color w:val="auto"/>
              </w:rPr>
            </w:pPr>
            <w:r>
              <w:rPr>
                <w:rFonts w:ascii="Arial" w:cs="Arial" w:eastAsia="Arial" w:hAnsi="Arial"/>
                <w:sz w:val="20"/>
                <w:szCs w:val="20"/>
                <w:color w:val="auto"/>
              </w:rPr>
              <w:t>8.52</w:t>
            </w:r>
          </w:p>
        </w:tc>
        <w:tc>
          <w:tcPr>
            <w:tcW w:w="1000" w:type="dxa"/>
            <w:vAlign w:val="bottom"/>
            <w:tcBorders>
              <w:bottom w:val="single" w:sz="8" w:color="auto"/>
              <w:right w:val="single" w:sz="8" w:color="auto"/>
            </w:tcBorders>
          </w:tcPr>
          <w:p>
            <w:pPr>
              <w:jc w:val="right"/>
              <w:ind w:right="201"/>
              <w:spacing w:after="0" w:line="216" w:lineRule="exact"/>
              <w:rPr>
                <w:sz w:val="20"/>
                <w:szCs w:val="20"/>
                <w:color w:val="auto"/>
              </w:rPr>
            </w:pPr>
            <w:r>
              <w:rPr>
                <w:rFonts w:ascii="Arial" w:cs="Arial" w:eastAsia="Arial" w:hAnsi="Arial"/>
                <w:sz w:val="20"/>
                <w:szCs w:val="20"/>
                <w:color w:val="auto"/>
              </w:rPr>
              <w:t>0.14</w:t>
            </w:r>
          </w:p>
        </w:tc>
        <w:tc>
          <w:tcPr>
            <w:tcW w:w="780" w:type="dxa"/>
            <w:vAlign w:val="bottom"/>
            <w:tcBorders>
              <w:bottom w:val="single" w:sz="8" w:color="auto"/>
            </w:tcBorders>
          </w:tcPr>
          <w:p>
            <w:pPr>
              <w:ind w:left="320"/>
              <w:spacing w:after="0" w:line="216" w:lineRule="exact"/>
              <w:rPr>
                <w:sz w:val="20"/>
                <w:szCs w:val="20"/>
                <w:color w:val="auto"/>
              </w:rPr>
            </w:pPr>
            <w:r>
              <w:rPr>
                <w:rFonts w:ascii="Arial" w:cs="Arial" w:eastAsia="Arial" w:hAnsi="Arial"/>
                <w:sz w:val="20"/>
                <w:szCs w:val="20"/>
                <w:color w:val="auto"/>
              </w:rPr>
              <w:t>0.03</w:t>
            </w:r>
          </w:p>
        </w:tc>
        <w:tc>
          <w:tcPr>
            <w:tcW w:w="240" w:type="dxa"/>
            <w:vAlign w:val="bottom"/>
            <w:tcBorders>
              <w:bottom w:val="single" w:sz="8" w:color="auto"/>
              <w:right w:val="single" w:sz="8" w:color="auto"/>
            </w:tcBorders>
          </w:tcPr>
          <w:p>
            <w:pPr>
              <w:spacing w:after="0"/>
              <w:rPr>
                <w:sz w:val="19"/>
                <w:szCs w:val="19"/>
                <w:color w:val="auto"/>
              </w:rPr>
            </w:pPr>
          </w:p>
        </w:tc>
        <w:tc>
          <w:tcPr>
            <w:tcW w:w="1000" w:type="dxa"/>
            <w:vAlign w:val="bottom"/>
            <w:tcBorders>
              <w:bottom w:val="single" w:sz="8" w:color="auto"/>
              <w:right w:val="single" w:sz="8" w:color="auto"/>
            </w:tcBorders>
          </w:tcPr>
          <w:p>
            <w:pPr>
              <w:jc w:val="right"/>
              <w:spacing w:after="0" w:line="216" w:lineRule="exact"/>
              <w:rPr>
                <w:sz w:val="20"/>
                <w:szCs w:val="20"/>
                <w:color w:val="auto"/>
              </w:rPr>
            </w:pPr>
            <w:r>
              <w:rPr>
                <w:rFonts w:ascii="Arial" w:cs="Arial" w:eastAsia="Arial" w:hAnsi="Arial"/>
                <w:sz w:val="20"/>
                <w:szCs w:val="20"/>
                <w:color w:val="auto"/>
              </w:rPr>
              <w:t>0.04-0.26</w:t>
            </w:r>
          </w:p>
        </w:tc>
        <w:tc>
          <w:tcPr>
            <w:tcW w:w="120" w:type="dxa"/>
            <w:vAlign w:val="bottom"/>
          </w:tcPr>
          <w:p>
            <w:pPr>
              <w:spacing w:after="0"/>
              <w:rPr>
                <w:sz w:val="19"/>
                <w:szCs w:val="19"/>
                <w:color w:val="auto"/>
              </w:rPr>
            </w:pPr>
          </w:p>
        </w:tc>
      </w:tr>
    </w:tbl>
    <w:p>
      <w:pPr>
        <w:spacing w:after="0" w:line="9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3.2.2 Идентификация на видовете отпадъци</w:t>
      </w:r>
    </w:p>
    <w:p>
      <w:pPr>
        <w:spacing w:after="0" w:line="1" w:lineRule="exact"/>
        <w:rPr>
          <w:sz w:val="20"/>
          <w:szCs w:val="20"/>
          <w:color w:val="auto"/>
        </w:rPr>
      </w:pPr>
    </w:p>
    <w:p>
      <w:pPr>
        <w:ind w:right="60" w:firstLine="566"/>
        <w:spacing w:after="0" w:line="245" w:lineRule="auto"/>
        <w:rPr>
          <w:sz w:val="20"/>
          <w:szCs w:val="20"/>
          <w:color w:val="auto"/>
        </w:rPr>
      </w:pPr>
      <w:r>
        <w:rPr>
          <w:rFonts w:ascii="Times New Roman" w:cs="Times New Roman" w:eastAsia="Times New Roman" w:hAnsi="Times New Roman"/>
          <w:sz w:val="24"/>
          <w:szCs w:val="24"/>
          <w:color w:val="auto"/>
        </w:rPr>
        <w:t>Съгласно чл. 22б от ЗПБ, чл. 15, ал. 1 и ал. 2 от Наредбата за управление на минните отпадъци, минните отпадъци формирани при експлоатацията на находище „Глория” се класифицират като:</w:t>
      </w:r>
    </w:p>
    <w:p>
      <w:pPr>
        <w:spacing w:after="0" w:line="1" w:lineRule="exact"/>
        <w:rPr>
          <w:sz w:val="20"/>
          <w:szCs w:val="20"/>
          <w:color w:val="auto"/>
        </w:rPr>
      </w:pPr>
    </w:p>
    <w:p>
      <w:pPr>
        <w:ind w:left="1280" w:hanging="362"/>
        <w:spacing w:after="0"/>
        <w:tabs>
          <w:tab w:leader="none" w:pos="1280" w:val="left"/>
        </w:tabs>
        <w:numPr>
          <w:ilvl w:val="0"/>
          <w:numId w:val="17"/>
        </w:numPr>
        <w:rPr>
          <w:rFonts w:ascii="Symbol" w:cs="Symbol" w:eastAsia="Symbol" w:hAnsi="Symbol"/>
          <w:sz w:val="24"/>
          <w:szCs w:val="24"/>
          <w:color w:val="auto"/>
        </w:rPr>
      </w:pPr>
      <w:r>
        <w:rPr>
          <w:rFonts w:ascii="Times New Roman" w:cs="Times New Roman" w:eastAsia="Times New Roman" w:hAnsi="Times New Roman"/>
          <w:sz w:val="24"/>
          <w:szCs w:val="24"/>
          <w:b w:val="1"/>
          <w:bCs w:val="1"/>
          <w:i w:val="1"/>
          <w:iCs w:val="1"/>
          <w:color w:val="auto"/>
        </w:rPr>
        <w:t xml:space="preserve">Незамърсени почви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почвените материали, покриващи находището и</w:t>
      </w:r>
    </w:p>
    <w:p>
      <w:pPr>
        <w:ind w:left="1280" w:right="60" w:hanging="362"/>
        <w:spacing w:after="0" w:line="260" w:lineRule="auto"/>
        <w:tabs>
          <w:tab w:leader="none" w:pos="1280" w:val="left"/>
        </w:tabs>
        <w:numPr>
          <w:ilvl w:val="0"/>
          <w:numId w:val="17"/>
        </w:numPr>
        <w:rPr>
          <w:rFonts w:ascii="Symbol" w:cs="Symbol" w:eastAsia="Symbol" w:hAnsi="Symbol"/>
          <w:sz w:val="24"/>
          <w:szCs w:val="24"/>
          <w:color w:val="auto"/>
        </w:rPr>
      </w:pPr>
      <w:r>
        <w:rPr>
          <w:rFonts w:ascii="Times New Roman" w:cs="Times New Roman" w:eastAsia="Times New Roman" w:hAnsi="Times New Roman"/>
          <w:sz w:val="24"/>
          <w:szCs w:val="24"/>
          <w:b w:val="1"/>
          <w:bCs w:val="1"/>
          <w:i w:val="1"/>
          <w:iCs w:val="1"/>
          <w:color w:val="auto"/>
        </w:rPr>
        <w:t xml:space="preserve">Инертни отпадъци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скална откривка, представена от изветрял повърхностен слой</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пясъчник и е беден, с много малко съдържание и/или отсъствие на глауконит.</w:t>
      </w:r>
    </w:p>
    <w:p>
      <w:pPr>
        <w:spacing w:after="0" w:line="8"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Почвеният слой като минен отпадък следва да се причисли към категорията на незамърсените почви. Основание за това е обстоятелството, че почвеният слой се снема от планински терен и не е подложен на никакви химически обработки и замърсяване с вредности. В проекта се предвижда той да се депонира на временно почвено депо, разположено в рамките на концесионната площ. Почвените материали ще се използват за рекултивационни дейности и се предвижда да бъдат оползотворени в края на концесионния срок.</w:t>
      </w:r>
    </w:p>
    <w:p>
      <w:pPr>
        <w:jc w:val="both"/>
        <w:ind w:right="60" w:firstLine="566"/>
        <w:spacing w:after="0" w:line="244" w:lineRule="auto"/>
        <w:rPr>
          <w:sz w:val="20"/>
          <w:szCs w:val="20"/>
          <w:color w:val="auto"/>
        </w:rPr>
      </w:pPr>
      <w:r>
        <w:rPr>
          <w:rFonts w:ascii="Times New Roman" w:cs="Times New Roman" w:eastAsia="Times New Roman" w:hAnsi="Times New Roman"/>
          <w:sz w:val="24"/>
          <w:szCs w:val="24"/>
          <w:color w:val="auto"/>
        </w:rPr>
        <w:t>Скалната откривка следва да се причисли към категорията на инертните минни отпадъци, тъй като се състои от изветрял повърхностен слой пясъчник и е беден, с много малко съдържание и/или отсъствие на глауконит, който е икономически неизгоден за последваща преработка и сепариране. Тя се отнема от земните недра, непосредствено под земната повърхност. Тя също не е подложена на химическа или физическа обработка и не е била в контакт с някакви замърсяващи производства и агенти. Тя не съдържа опасни или вредни за околната среда елементи. Отстраняването на откривката се извършва при разкриването на запасите от глауконитови пясъчници и е отпадък при разкриване на неметални полезни изкопаеми.</w:t>
      </w:r>
    </w:p>
    <w:p>
      <w:pPr>
        <w:spacing w:after="0" w:line="82"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 Естество на минните отпадъци</w:t>
      </w:r>
    </w:p>
    <w:p>
      <w:pPr>
        <w:spacing w:after="0" w:line="120"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3.3.1 Произход на отпадъците</w:t>
      </w:r>
    </w:p>
    <w:p>
      <w:pPr>
        <w:spacing w:after="0" w:line="1" w:lineRule="exact"/>
        <w:rPr>
          <w:sz w:val="20"/>
          <w:szCs w:val="20"/>
          <w:color w:val="auto"/>
        </w:rPr>
      </w:pPr>
    </w:p>
    <w:p>
      <w:pPr>
        <w:jc w:val="both"/>
        <w:ind w:right="60" w:firstLine="566"/>
        <w:spacing w:after="0" w:line="250" w:lineRule="auto"/>
        <w:rPr>
          <w:sz w:val="20"/>
          <w:szCs w:val="20"/>
          <w:color w:val="auto"/>
        </w:rPr>
      </w:pPr>
      <w:r>
        <w:rPr>
          <w:rFonts w:ascii="Times New Roman" w:cs="Times New Roman" w:eastAsia="Times New Roman" w:hAnsi="Times New Roman"/>
          <w:sz w:val="24"/>
          <w:szCs w:val="24"/>
          <w:color w:val="auto"/>
        </w:rPr>
        <w:t>При разработването на кариерата се отстранява разкривка, каквато е установена за находището. Разкривни работи се извършват на ненарушения терен в участъците, в които ще се води добива. Разкривката представлява почвен материал и скална маса. В този аспект почвения материал и скалната разкривка представляват минни отпадъци.</w:t>
      </w:r>
    </w:p>
    <w:p>
      <w:pPr>
        <w:spacing w:after="0" w:line="25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3.3.2 Количество на минните отпадъци</w:t>
      </w:r>
    </w:p>
    <w:p>
      <w:pPr>
        <w:spacing w:after="0" w:line="1" w:lineRule="exact"/>
        <w:rPr>
          <w:sz w:val="20"/>
          <w:szCs w:val="20"/>
          <w:color w:val="auto"/>
        </w:rPr>
      </w:pPr>
    </w:p>
    <w:p>
      <w:pPr>
        <w:jc w:val="both"/>
        <w:ind w:right="60" w:firstLine="566"/>
        <w:spacing w:after="0" w:line="189" w:lineRule="auto"/>
        <w:rPr>
          <w:sz w:val="20"/>
          <w:szCs w:val="20"/>
          <w:color w:val="auto"/>
        </w:rPr>
      </w:pPr>
      <w:r>
        <w:rPr>
          <w:rFonts w:ascii="Times New Roman" w:cs="Times New Roman" w:eastAsia="Times New Roman" w:hAnsi="Times New Roman"/>
          <w:sz w:val="24"/>
          <w:szCs w:val="24"/>
          <w:color w:val="auto"/>
        </w:rPr>
        <w:t xml:space="preserve">Общо за 35-годишния концесионен период в рамките на доказаните запаси от находището се очаква да бъде иззети 444026 m </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откривни материали, от които почвен слой в обем от около 120000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и песъчливи глини в обем от 324026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ind w:left="560"/>
        <w:spacing w:after="0"/>
        <w:rPr>
          <w:sz w:val="20"/>
          <w:szCs w:val="20"/>
          <w:color w:val="auto"/>
        </w:rPr>
      </w:pPr>
      <w:r>
        <w:rPr>
          <w:rFonts w:ascii="Times New Roman" w:cs="Times New Roman" w:eastAsia="Times New Roman" w:hAnsi="Times New Roman"/>
          <w:sz w:val="24"/>
          <w:szCs w:val="24"/>
          <w:color w:val="auto"/>
        </w:rPr>
        <w:t>Общият обем на откривката за цялото находище (запаси и ресурси) е 2 172 227 m</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w:t>
      </w:r>
    </w:p>
    <w:p>
      <w:pPr>
        <w:spacing w:after="0" w:line="5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3.3.3 Система за транспортиране на минните отпадъци</w:t>
      </w:r>
    </w:p>
    <w:p>
      <w:pPr>
        <w:spacing w:after="0" w:line="1" w:lineRule="exact"/>
        <w:rPr>
          <w:sz w:val="20"/>
          <w:szCs w:val="20"/>
          <w:color w:val="auto"/>
        </w:rPr>
      </w:pP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Транспортирането на минните отпадъци ще се осъществява посредством автосамосвали до определените за целта насипища. Натоварването на отбитата скална маса и отпадъка ще се извършва с челни товарачи.</w:t>
      </w:r>
    </w:p>
    <w:p>
      <w:pPr>
        <w:spacing w:after="0" w:line="6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3.3.4 Методи за депониране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с оглед удобното им използване за рекултивация на бордовете на кариерата и терена на последния експлоатационен хоризонт.</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Насипообразуването с булдозери при автмобилен транспорт се състои от разтоварване на откривката от автосамосвалите, подравняване на насипа и строителство на автопътища. Височината на булдозерните насипища ще бъде до 15 m.</w:t>
      </w: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Автосамосвалите се разтоварват на разстояние 1,5-3 m от ръба на насипището. Булдозерите избутват откривката по откоса на насипището, като част от нея се оставя за предпаен вал за самосвалите.</w:t>
      </w:r>
    </w:p>
    <w:p>
      <w:pPr>
        <w:spacing w:after="0" w:line="64" w:lineRule="exact"/>
        <w:rPr>
          <w:sz w:val="20"/>
          <w:szCs w:val="20"/>
          <w:color w:val="auto"/>
        </w:rPr>
      </w:pPr>
    </w:p>
    <w:p>
      <w:pPr>
        <w:ind w:left="560" w:right="1280"/>
        <w:spacing w:after="0" w:line="273" w:lineRule="auto"/>
        <w:rPr>
          <w:sz w:val="20"/>
          <w:szCs w:val="20"/>
          <w:color w:val="auto"/>
        </w:rPr>
      </w:pPr>
      <w:r>
        <w:rPr>
          <w:rFonts w:ascii="Times New Roman" w:cs="Times New Roman" w:eastAsia="Times New Roman" w:hAnsi="Times New Roman"/>
          <w:sz w:val="24"/>
          <w:szCs w:val="24"/>
          <w:b w:val="1"/>
          <w:bCs w:val="1"/>
          <w:i w:val="1"/>
          <w:iCs w:val="1"/>
          <w:color w:val="auto"/>
        </w:rPr>
        <w:t xml:space="preserve">3.3.5 Описание на химичните вещества и смеси, използвани при преработката </w:t>
      </w:r>
      <w:r>
        <w:rPr>
          <w:rFonts w:ascii="Times New Roman" w:cs="Times New Roman" w:eastAsia="Times New Roman" w:hAnsi="Times New Roman"/>
          <w:sz w:val="24"/>
          <w:szCs w:val="24"/>
          <w:color w:val="auto"/>
        </w:rPr>
        <w:t>При преработката не се използват химични вещества и смеси.</w:t>
      </w:r>
    </w:p>
    <w:p>
      <w:pPr>
        <w:spacing w:after="0" w:line="4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3.3.6 Код и наименование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 xml:space="preserve">Генерирането на минни отпадъци ще започне с началото на разкривните дейности. Съгласно Решение 2000/532/ЕО на Комисията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(ОВ L 226, 6.9.2000 г., стр. 3) и посл.изм. хумусно -почвените материали, изветрелите и нестандартни скални маси от откривката и скалните маси от технологични загуби при добива се класифицират в подгрупа „01 01 отпадъци от екскавация на минерали” с код и наименование “01 01 02 отпадъци от екскавация на неметални полезни изкопаеми”. Съгласно Наредба № 2/2014г. за класификация на отпадъците това е отпадък с код </w:t>
      </w:r>
      <w:r>
        <w:rPr>
          <w:rFonts w:ascii="Times New Roman" w:cs="Times New Roman" w:eastAsia="Times New Roman" w:hAnsi="Times New Roman"/>
          <w:sz w:val="24"/>
          <w:szCs w:val="24"/>
          <w:b w:val="1"/>
          <w:bCs w:val="1"/>
          <w:color w:val="auto"/>
        </w:rPr>
        <w:t>01 01 02-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отпадъци от разкриване и добив на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неметални полезни изкопаеми</w:t>
      </w:r>
      <w:r>
        <w:rPr>
          <w:rFonts w:ascii="Times New Roman" w:cs="Times New Roman" w:eastAsia="Times New Roman" w:hAnsi="Times New Roman"/>
          <w:sz w:val="24"/>
          <w:szCs w:val="24"/>
          <w:color w:val="auto"/>
        </w:rPr>
        <w:t>.</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Очакваните отпадъци, които ще се генерират по време на реализацията на концесията, се класифицират със следните кодове и наименования съгласно Решение 2000/532/ЕО на Комисията за замяна на Решение 94/3/ЕО за 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(ОВ L 226, 6.9.2000 г., стр. 3):</w:t>
      </w:r>
    </w:p>
    <w:p>
      <w:pPr>
        <w:jc w:val="both"/>
        <w:ind w:right="60" w:firstLine="566"/>
        <w:spacing w:after="0" w:line="250" w:lineRule="auto"/>
        <w:rPr>
          <w:sz w:val="20"/>
          <w:szCs w:val="20"/>
          <w:color w:val="auto"/>
        </w:rPr>
      </w:pPr>
      <w:r>
        <w:rPr>
          <w:rFonts w:ascii="Times New Roman" w:cs="Times New Roman" w:eastAsia="Times New Roman" w:hAnsi="Times New Roman"/>
          <w:sz w:val="24"/>
          <w:szCs w:val="24"/>
          <w:color w:val="auto"/>
        </w:rPr>
        <w:t>Хумусно-почвените материали, изветрелите и нестандартни скални маси от откривката и скалните маси от технологични загуби при добива се класифицират в подгрупа „01 01 отпадъци от екскавация на минерали” с код и наименование “</w:t>
      </w:r>
      <w:r>
        <w:rPr>
          <w:rFonts w:ascii="Times New Roman" w:cs="Times New Roman" w:eastAsia="Times New Roman" w:hAnsi="Times New Roman"/>
          <w:sz w:val="24"/>
          <w:szCs w:val="24"/>
          <w:b w:val="1"/>
          <w:bCs w:val="1"/>
          <w:color w:val="auto"/>
        </w:rPr>
        <w:t>01 01 02</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отпадъци от екскавация на неметални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полезни изкопаеми</w:t>
      </w:r>
      <w:r>
        <w:rPr>
          <w:rFonts w:ascii="Times New Roman" w:cs="Times New Roman" w:eastAsia="Times New Roman" w:hAnsi="Times New Roman"/>
          <w:sz w:val="24"/>
          <w:szCs w:val="24"/>
          <w:color w:val="auto"/>
        </w:rPr>
        <w:t>” .</w:t>
      </w:r>
    </w:p>
    <w:p>
      <w:pPr>
        <w:spacing w:after="0" w:line="73" w:lineRule="exact"/>
        <w:rPr>
          <w:sz w:val="20"/>
          <w:szCs w:val="20"/>
          <w:color w:val="auto"/>
        </w:rPr>
      </w:pPr>
    </w:p>
    <w:p>
      <w:pPr>
        <w:ind w:left="560" w:right="190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3.3.7 Тип на съоръжението, в което ще се депонират минните отпадъци </w:t>
      </w:r>
      <w:r>
        <w:rPr>
          <w:rFonts w:ascii="Times New Roman" w:cs="Times New Roman" w:eastAsia="Times New Roman" w:hAnsi="Times New Roman"/>
          <w:sz w:val="24"/>
          <w:szCs w:val="24"/>
          <w:color w:val="auto"/>
        </w:rPr>
        <w:t>Съгласно чл. 16, ал.3 от Наредбата съоръжения за минни отпадъци са:</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1. насипища (табани);</w:t>
      </w:r>
    </w:p>
    <w:p>
      <w:pPr>
        <w:spacing w:after="0" w:line="14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ind w:left="800" w:hanging="242"/>
        <w:spacing w:after="0"/>
        <w:tabs>
          <w:tab w:leader="none" w:pos="80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хвостохранилища и шламохранилища;</w:t>
      </w:r>
    </w:p>
    <w:p>
      <w:pPr>
        <w:ind w:left="800" w:hanging="242"/>
        <w:spacing w:after="0"/>
        <w:tabs>
          <w:tab w:leader="none" w:pos="800"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други.</w:t>
      </w:r>
    </w:p>
    <w:p>
      <w:pPr>
        <w:jc w:val="both"/>
        <w:ind w:right="60" w:firstLine="566"/>
        <w:spacing w:after="0" w:line="272" w:lineRule="auto"/>
        <w:rPr>
          <w:sz w:val="20"/>
          <w:szCs w:val="20"/>
          <w:color w:val="auto"/>
        </w:rPr>
      </w:pPr>
      <w:r>
        <w:rPr>
          <w:rFonts w:ascii="Times New Roman" w:cs="Times New Roman" w:eastAsia="Times New Roman" w:hAnsi="Times New Roman"/>
          <w:sz w:val="24"/>
          <w:szCs w:val="24"/>
          <w:color w:val="auto"/>
        </w:rPr>
        <w:t xml:space="preserve">Съгласно горните критерии съоръженията за минни отпадъци от находище „Глория” се определят като </w:t>
      </w:r>
      <w:r>
        <w:rPr>
          <w:rFonts w:ascii="Times New Roman" w:cs="Times New Roman" w:eastAsia="Times New Roman" w:hAnsi="Times New Roman"/>
          <w:sz w:val="24"/>
          <w:szCs w:val="24"/>
          <w:b w:val="1"/>
          <w:bCs w:val="1"/>
          <w:color w:val="auto"/>
        </w:rPr>
        <w:t>насипища</w:t>
      </w:r>
      <w:r>
        <w:rPr>
          <w:rFonts w:ascii="Times New Roman" w:cs="Times New Roman" w:eastAsia="Times New Roman" w:hAnsi="Times New Roman"/>
          <w:sz w:val="24"/>
          <w:szCs w:val="24"/>
          <w:color w:val="auto"/>
        </w:rPr>
        <w:t>.</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3.4 Геотехническо поведение на минните отпадъци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Минните отпадъци, които ще се депонират на депата за почви и скална откривка, ще съдържат почвени материали и изветрял повърхностен слой пясъчник с много малко съдържание на глауконит. При насипообразуването ще се създава една взаимна уплътняемост до достигане на устойчив ъгъл на откоса от 45°, който ще се формира при насипването.</w:t>
      </w:r>
    </w:p>
    <w:p>
      <w:pPr>
        <w:jc w:val="both"/>
        <w:ind w:right="60" w:firstLine="566"/>
        <w:spacing w:after="0" w:line="256" w:lineRule="auto"/>
        <w:rPr>
          <w:sz w:val="20"/>
          <w:szCs w:val="20"/>
          <w:color w:val="auto"/>
        </w:rPr>
      </w:pPr>
      <w:r>
        <w:rPr>
          <w:rFonts w:ascii="Times New Roman" w:cs="Times New Roman" w:eastAsia="Times New Roman" w:hAnsi="Times New Roman"/>
          <w:sz w:val="24"/>
          <w:szCs w:val="24"/>
          <w:color w:val="auto"/>
        </w:rPr>
        <w:t>Не се очакват промени при съхранението, тъй като отложените материали са „незамърсени почви“ и „инертни отпадъци“. Очаква се дълговременна устойчивост на насипищата, поради това, че влиянието на въздействието на външни фактори върху стабилността му е ограничено.</w:t>
      </w:r>
    </w:p>
    <w:p>
      <w:pPr>
        <w:spacing w:after="0" w:line="6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3.5 Геохимични характеристики и поведение на минните отпадъци</w:t>
      </w:r>
    </w:p>
    <w:p>
      <w:pPr>
        <w:spacing w:after="0" w:line="1" w:lineRule="exact"/>
        <w:rPr>
          <w:sz w:val="20"/>
          <w:szCs w:val="20"/>
          <w:color w:val="auto"/>
        </w:rPr>
      </w:pP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Имайки предвид химичния състав, минните отпадъци в находище „Глория“ се класифицират като „</w:t>
      </w:r>
      <w:r>
        <w:rPr>
          <w:rFonts w:ascii="Times New Roman" w:cs="Times New Roman" w:eastAsia="Times New Roman" w:hAnsi="Times New Roman"/>
          <w:sz w:val="24"/>
          <w:szCs w:val="24"/>
          <w:b w:val="1"/>
          <w:bCs w:val="1"/>
          <w:color w:val="auto"/>
        </w:rPr>
        <w:t>инертни отпадъци</w:t>
      </w:r>
      <w:r>
        <w:rPr>
          <w:rFonts w:ascii="Times New Roman" w:cs="Times New Roman" w:eastAsia="Times New Roman" w:hAnsi="Times New Roman"/>
          <w:sz w:val="24"/>
          <w:szCs w:val="24"/>
          <w:color w:val="auto"/>
        </w:rPr>
        <w:t>“ и отговарят на посочените критерии заложени при класифицирането в съответствие с разпоредбите на чл. 22 б, ал. 1 от ЗПБ, а именно:</w:t>
      </w:r>
    </w:p>
    <w:p>
      <w:pPr>
        <w:spacing w:after="0" w:line="2" w:lineRule="exact"/>
        <w:rPr>
          <w:sz w:val="20"/>
          <w:szCs w:val="20"/>
          <w:color w:val="auto"/>
        </w:rPr>
      </w:pPr>
    </w:p>
    <w:p>
      <w:pPr>
        <w:jc w:val="both"/>
        <w:ind w:left="1280" w:right="6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се разпадат, не се разтварят и не претърпяват съществени физически, химически или биологически промени, които могат да повлияят неблагоприятно върху компонентите на околната среда, безопасността и здравето на населението;</w:t>
      </w:r>
    </w:p>
    <w:p>
      <w:pPr>
        <w:spacing w:after="0" w:line="2" w:lineRule="exact"/>
        <w:rPr>
          <w:rFonts w:ascii="Symbol" w:cs="Symbol" w:eastAsia="Symbol" w:hAnsi="Symbol"/>
          <w:sz w:val="24"/>
          <w:szCs w:val="24"/>
          <w:color w:val="auto"/>
        </w:rPr>
      </w:pP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съдържат сулфидна сяра в количества не по-големи от 1,0 на сто;</w:t>
      </w:r>
    </w:p>
    <w:p>
      <w:pPr>
        <w:ind w:left="1280" w:hanging="362"/>
        <w:spacing w:after="0"/>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се самозапалват и не горят;</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опасни за околната среда и човешкото здраве вещества;</w:t>
      </w:r>
    </w:p>
    <w:p>
      <w:pPr>
        <w:ind w:left="1280" w:hanging="362"/>
        <w:spacing w:after="0" w:line="239"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вещества, потенциално вредни за околната среда и здравето на хората;</w:t>
      </w:r>
    </w:p>
    <w:p>
      <w:pPr>
        <w:jc w:val="both"/>
        <w:ind w:left="1280" w:right="60" w:hanging="362"/>
        <w:spacing w:after="0" w:line="247" w:lineRule="auto"/>
        <w:tabs>
          <w:tab w:leader="none" w:pos="1280" w:val="left"/>
        </w:tabs>
        <w:numPr>
          <w:ilvl w:val="1"/>
          <w:numId w:val="19"/>
        </w:numPr>
        <w:rPr>
          <w:rFonts w:ascii="Symbol" w:cs="Symbol" w:eastAsia="Symbol" w:hAnsi="Symbol"/>
          <w:sz w:val="24"/>
          <w:szCs w:val="24"/>
          <w:color w:val="auto"/>
        </w:rPr>
      </w:pPr>
      <w:r>
        <w:rPr>
          <w:rFonts w:ascii="Times New Roman" w:cs="Times New Roman" w:eastAsia="Times New Roman" w:hAnsi="Times New Roman"/>
          <w:sz w:val="24"/>
          <w:szCs w:val="24"/>
          <w:color w:val="auto"/>
        </w:rPr>
        <w:t>не съдържат вещества и продукти, използвани при добива и първичната преработка, които могат да повлияят неблагоприятно върху компонентите на околната среда, безопасността и здравето на населението.</w:t>
      </w:r>
    </w:p>
    <w:p>
      <w:pPr>
        <w:spacing w:after="0" w:line="226" w:lineRule="exact"/>
        <w:rPr>
          <w:rFonts w:ascii="Symbol" w:cs="Symbol" w:eastAsia="Symbol" w:hAnsi="Symbol"/>
          <w:sz w:val="24"/>
          <w:szCs w:val="24"/>
          <w:color w:val="auto"/>
        </w:rPr>
      </w:pPr>
    </w:p>
    <w:p>
      <w:pPr>
        <w:ind w:left="800" w:hanging="242"/>
        <w:spacing w:after="0"/>
        <w:tabs>
          <w:tab w:leader="none" w:pos="800" w:val="left"/>
        </w:tabs>
        <w:numPr>
          <w:ilvl w:val="0"/>
          <w:numId w:val="1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ВИД И КАТЕГОРИЯ НА СЪОРЖЕНИЕТО ЗА МИННИ ОТПАДЪЦИ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-175260</wp:posOffset>
                </wp:positionV>
                <wp:extent cx="672211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3.7999pt" to="523pt,-13.79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31115</wp:posOffset>
                </wp:positionV>
                <wp:extent cx="672211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45pt" to="523pt,2.4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-178435</wp:posOffset>
                </wp:positionV>
                <wp:extent cx="0" cy="212725"/>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4.0499pt" to="-6.0499pt,2.7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-178435</wp:posOffset>
                </wp:positionV>
                <wp:extent cx="0" cy="212725"/>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4.0499pt" to="522.75pt,2.7pt" o:allowincell="f" strokecolor="#000000" strokeweight="0.4809pt"/>
            </w:pict>
          </mc:Fallback>
        </mc:AlternateContent>
      </w:r>
    </w:p>
    <w:p>
      <w:pPr>
        <w:spacing w:after="0" w:line="127"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4.1 Местоположение на съоръженията за минни отпадъци</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(прил. 1).</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съшо на външно насипище,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ind w:left="560"/>
        <w:spacing w:after="0"/>
        <w:rPr>
          <w:sz w:val="20"/>
          <w:szCs w:val="20"/>
          <w:color w:val="auto"/>
        </w:rPr>
      </w:pPr>
      <w:r>
        <w:rPr>
          <w:rFonts w:ascii="Times New Roman" w:cs="Times New Roman" w:eastAsia="Times New Roman" w:hAnsi="Times New Roman"/>
          <w:sz w:val="24"/>
          <w:szCs w:val="24"/>
          <w:color w:val="auto"/>
        </w:rPr>
        <w:t>Вътрешните кариерни насипища в края на експлоатацията ще се закрият чрез рекултивирането</w:t>
      </w:r>
    </w:p>
    <w:p>
      <w:pPr>
        <w:spacing w:after="0"/>
        <w:rPr>
          <w:sz w:val="20"/>
          <w:szCs w:val="20"/>
          <w:color w:val="auto"/>
        </w:rPr>
      </w:pPr>
      <w:r>
        <w:rPr>
          <w:rFonts w:ascii="Times New Roman" w:cs="Times New Roman" w:eastAsia="Times New Roman" w:hAnsi="Times New Roman"/>
          <w:sz w:val="24"/>
          <w:szCs w:val="24"/>
          <w:color w:val="auto"/>
        </w:rPr>
        <w:t>им.</w:t>
      </w:r>
    </w:p>
    <w:p>
      <w:pPr>
        <w:jc w:val="both"/>
        <w:ind w:right="60" w:firstLine="566"/>
        <w:spacing w:after="0" w:line="248" w:lineRule="auto"/>
        <w:rPr>
          <w:sz w:val="20"/>
          <w:szCs w:val="20"/>
          <w:color w:val="auto"/>
        </w:rPr>
      </w:pPr>
      <w:r>
        <w:rPr>
          <w:rFonts w:ascii="Times New Roman" w:cs="Times New Roman" w:eastAsia="Times New Roman" w:hAnsi="Times New Roman"/>
          <w:sz w:val="24"/>
          <w:szCs w:val="24"/>
          <w:color w:val="auto"/>
        </w:rPr>
        <w:t>Местоположението на съоръженията за депониране на минни отпадъци е определено на база анализ на необходимите площи за разполагане на насипищата и спазване на законовото изискване да са изградени в границите на концесионната площ, но извън контура на запасите полезно изкопаемо. Поради това обстоятелство други алтернативни варианти за местоположение не са осъществими.</w:t>
      </w:r>
    </w:p>
    <w:p>
      <w:pPr>
        <w:spacing w:after="0" w:line="73" w:lineRule="exact"/>
        <w:rPr>
          <w:sz w:val="20"/>
          <w:szCs w:val="20"/>
          <w:color w:val="auto"/>
        </w:rPr>
      </w:pPr>
    </w:p>
    <w:p>
      <w:pPr>
        <w:ind w:left="560" w:right="3420"/>
        <w:spacing w:after="0"/>
        <w:rPr>
          <w:sz w:val="20"/>
          <w:szCs w:val="20"/>
          <w:color w:val="auto"/>
        </w:rPr>
      </w:pPr>
      <w:r>
        <w:rPr>
          <w:rFonts w:ascii="Times New Roman" w:cs="Times New Roman" w:eastAsia="Times New Roman" w:hAnsi="Times New Roman"/>
          <w:sz w:val="24"/>
          <w:szCs w:val="24"/>
          <w:b w:val="1"/>
          <w:bCs w:val="1"/>
          <w:i w:val="1"/>
          <w:iCs w:val="1"/>
          <w:color w:val="auto"/>
        </w:rPr>
        <w:t xml:space="preserve">4.2. Състояние на земната повърхност, засегната от СМО </w:t>
      </w:r>
      <w:r>
        <w:rPr>
          <w:rFonts w:ascii="Times New Roman" w:cs="Times New Roman" w:eastAsia="Times New Roman" w:hAnsi="Times New Roman"/>
          <w:sz w:val="24"/>
          <w:szCs w:val="24"/>
          <w:i w:val="1"/>
          <w:iCs w:val="1"/>
          <w:color w:val="auto"/>
        </w:rPr>
        <w:t>Хидрогеоложки условия в находището.</w:t>
      </w:r>
    </w:p>
    <w:p>
      <w:pPr>
        <w:spacing w:after="0" w:line="1" w:lineRule="exact"/>
        <w:rPr>
          <w:sz w:val="20"/>
          <w:szCs w:val="20"/>
          <w:color w:val="auto"/>
        </w:rPr>
      </w:pPr>
    </w:p>
    <w:p>
      <w:pPr>
        <w:ind w:right="60" w:firstLine="566"/>
        <w:spacing w:after="0"/>
        <w:rPr>
          <w:sz w:val="20"/>
          <w:szCs w:val="20"/>
          <w:color w:val="auto"/>
        </w:rPr>
      </w:pPr>
      <w:r>
        <w:rPr>
          <w:rFonts w:ascii="Times New Roman" w:cs="Times New Roman" w:eastAsia="Times New Roman" w:hAnsi="Times New Roman"/>
          <w:sz w:val="24"/>
          <w:szCs w:val="24"/>
          <w:color w:val="auto"/>
        </w:rPr>
        <w:t>Глауконитовият пясъчников комплекс, изграждащ находище „Глория” представлява невисок планински хребет с надморска височина от порядъка на 200 до 300 m.</w:t>
      </w:r>
    </w:p>
    <w:p>
      <w:pPr>
        <w:ind w:right="60" w:firstLine="566"/>
        <w:spacing w:after="0"/>
        <w:rPr>
          <w:sz w:val="20"/>
          <w:szCs w:val="20"/>
          <w:color w:val="auto"/>
        </w:rPr>
      </w:pPr>
      <w:r>
        <w:rPr>
          <w:rFonts w:ascii="Times New Roman" w:cs="Times New Roman" w:eastAsia="Times New Roman" w:hAnsi="Times New Roman"/>
          <w:sz w:val="24"/>
          <w:szCs w:val="24"/>
          <w:color w:val="auto"/>
        </w:rPr>
        <w:t>На много места глауконитовите пясъчници са разсечени от значими разломни и пукнатинни структури.</w:t>
      </w:r>
    </w:p>
    <w:p>
      <w:pPr>
        <w:ind w:right="60" w:firstLine="566"/>
        <w:spacing w:after="0"/>
        <w:rPr>
          <w:sz w:val="20"/>
          <w:szCs w:val="20"/>
          <w:color w:val="auto"/>
        </w:rPr>
      </w:pPr>
      <w:r>
        <w:rPr>
          <w:rFonts w:ascii="Times New Roman" w:cs="Times New Roman" w:eastAsia="Times New Roman" w:hAnsi="Times New Roman"/>
          <w:sz w:val="24"/>
          <w:szCs w:val="24"/>
          <w:color w:val="auto"/>
        </w:rPr>
        <w:t>Тези особености на масива и самата структура на глауконитовите пясъчници, способстват за сравнително бързото просмукване на атмосферните води в дълбочина.</w:t>
      </w:r>
    </w:p>
    <w:p>
      <w:pPr>
        <w:jc w:val="right"/>
        <w:ind w:right="60"/>
        <w:spacing w:after="0"/>
        <w:rPr>
          <w:sz w:val="20"/>
          <w:szCs w:val="20"/>
          <w:color w:val="auto"/>
        </w:rPr>
      </w:pPr>
      <w:r>
        <w:rPr>
          <w:rFonts w:ascii="Times New Roman" w:cs="Times New Roman" w:eastAsia="Times New Roman" w:hAnsi="Times New Roman"/>
          <w:sz w:val="24"/>
          <w:szCs w:val="24"/>
          <w:color w:val="auto"/>
        </w:rPr>
        <w:t>В проучваната територия са налице множество малки дерета. Те дренират водния отток и</w:t>
      </w:r>
    </w:p>
    <w:p>
      <w:pPr>
        <w:spacing w:after="0" w:line="142"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line="239" w:lineRule="auto"/>
        <w:rPr>
          <w:sz w:val="20"/>
          <w:szCs w:val="20"/>
          <w:color w:val="auto"/>
        </w:rPr>
      </w:pPr>
      <w:r>
        <w:rPr>
          <w:rFonts w:ascii="Times New Roman" w:cs="Times New Roman" w:eastAsia="Times New Roman" w:hAnsi="Times New Roman"/>
          <w:sz w:val="24"/>
          <w:szCs w:val="24"/>
          <w:color w:val="auto"/>
        </w:rPr>
        <w:t>дават начало на малки поточета, които захранват р. Скът, ляв приток на р. Огоста. Имено тази река се явява и основния акумулатор на всички води в проучвателната площ. Хидрогеоложките и инженерно-геоложките условия позволяват проектирането и реализирането на открит кариерен добив на скалния материал в региона.</w:t>
      </w:r>
    </w:p>
    <w:p>
      <w:pPr>
        <w:spacing w:after="0" w:line="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i w:val="1"/>
          <w:iCs w:val="1"/>
          <w:color w:val="auto"/>
        </w:rPr>
        <w:t>Морфоложки данни за района.</w:t>
      </w:r>
    </w:p>
    <w:p>
      <w:pPr>
        <w:spacing w:after="0" w:line="4"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Районът на находище „Глория попада в централната част на малък нископланински хребет, съставна част на Предбалкана, заемащ междинно положение между Мизийската равнина от север и Централния Балкан от юг.</w:t>
      </w:r>
    </w:p>
    <w:p>
      <w:pPr>
        <w:jc w:val="both"/>
        <w:ind w:right="60" w:firstLine="558"/>
        <w:spacing w:after="0"/>
        <w:tabs>
          <w:tab w:leader="none" w:pos="859"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строежа на този хребет участват разнообразни по състав долнокредни и горнокредни формации, изграждащи доста добре запазена северозапад-югоизточна синклинална структура и още по-точно югоизточната периклинална част на тази структура.</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Основна водосборна артерия е р. Скът и нейните малки притоци и дерета, дрениращи целия воден отток в района.</w:t>
      </w:r>
    </w:p>
    <w:p>
      <w:pPr>
        <w:jc w:val="both"/>
        <w:ind w:right="60" w:firstLine="558"/>
        <w:spacing w:after="0"/>
        <w:tabs>
          <w:tab w:leader="none" w:pos="850"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обсега на находището са разпространени основно сивите горски почви, формирани на терени, заемани в близкото минало от горски насаждения. Хумусният слой е около 0.50-0,80 m и се характеризира със значително съдържание на хранителни вещества, в това число и на калий, фосфор и азот, вероятно взаимствани от разположения в дълбочина глауконитов субстракт.</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Районът на площта е със специфична флора и фауна, с представители на няколко фитогеографски и зоогеографски зони.</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Естествени горски масиви са разположени южно от находището и са представени от широколистните видове драка, леска, клен, люляк, шипка, глог, дъб, дива круша и др.</w:t>
      </w:r>
    </w:p>
    <w:p>
      <w:pPr>
        <w:jc w:val="both"/>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 реализиране на инвестиционното предложение ще се използват съществуващите селскостопански пътища, които създават много добър достъп до всички части на находището, като, естествено, основата им ще бъде заздравена, уплътнена и насипана с трошени каменни фракции и баластра, за да се получи достатъчно устойчив макаданов път.</w:t>
      </w:r>
    </w:p>
    <w:p>
      <w:pPr>
        <w:jc w:val="both"/>
        <w:ind w:right="60" w:firstLine="558"/>
        <w:spacing w:after="0"/>
        <w:tabs>
          <w:tab w:leader="none" w:pos="886"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обсега на находището попадат имоти държавен горски фонд – частна и държавна собственост, както и такава, собственост на частни лица и общината – ниви, пасища, трайни насаждения – общинска, държавен поземлен фонд. Най-близките села до находището са с. Мало Пещене и с. Голямо Пещене, които са електрифицирани, водоснабдени и телефонизирано.</w:t>
      </w:r>
    </w:p>
    <w:p>
      <w:pPr>
        <w:jc w:val="both"/>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b w:val="1"/>
          <w:bCs w:val="1"/>
          <w:i w:val="1"/>
          <w:iCs w:val="1"/>
          <w:color w:val="auto"/>
        </w:rPr>
        <w:t>Сеизмични данни</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Според действащото сеизмично райониране на република България,</w:t>
      </w:r>
      <w:r>
        <w:rPr>
          <w:rFonts w:ascii="Times New Roman" w:cs="Times New Roman" w:eastAsia="Times New Roman" w:hAnsi="Times New Roman"/>
          <w:sz w:val="24"/>
          <w:szCs w:val="24"/>
          <w:b w:val="1"/>
          <w:bCs w:val="1"/>
          <w:i w:val="1"/>
          <w:iCs w:val="1"/>
          <w:color w:val="auto"/>
        </w:rPr>
        <w:t xml:space="preserve"> </w:t>
      </w:r>
      <w:r>
        <w:rPr>
          <w:rFonts w:ascii="Times New Roman" w:cs="Times New Roman" w:eastAsia="Times New Roman" w:hAnsi="Times New Roman"/>
          <w:sz w:val="24"/>
          <w:szCs w:val="24"/>
          <w:color w:val="auto"/>
        </w:rPr>
        <w:t xml:space="preserve">района на находище “Глория” попада в територия с вероятност от възникване на земетресение със степен на въздействие до VII по Медведев-Шпонхойер-Карник (MSK). Коефициентът на сеизмичност за района е </w:t>
      </w:r>
      <w:r>
        <w:rPr>
          <w:rFonts w:ascii="Times New Roman" w:cs="Times New Roman" w:eastAsia="Times New Roman" w:hAnsi="Times New Roman"/>
          <w:sz w:val="24"/>
          <w:szCs w:val="24"/>
          <w:i w:val="1"/>
          <w:iCs w:val="1"/>
          <w:color w:val="auto"/>
        </w:rPr>
        <w:t>Кс</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0.10.</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Следващата таблица показва характера на очакваните разрушения в зависимост от степента на въздействие на земетресението:</w:t>
      </w:r>
    </w:p>
    <w:tbl>
      <w:tblPr>
        <w:tblLayout w:type="fixed"/>
        <w:tblInd w:w="710" w:type="dxa"/>
        <w:tblCellMar>
          <w:top w:w="0" w:type="dxa"/>
          <w:left w:w="0" w:type="dxa"/>
          <w:bottom w:w="0" w:type="dxa"/>
          <w:right w:w="0" w:type="dxa"/>
        </w:tblCellMar>
      </w:tblPr>
      <w:tr>
        <w:trPr>
          <w:trHeight w:val="302"/>
        </w:trPr>
        <w:tc>
          <w:tcPr>
            <w:tcW w:w="4440" w:type="dxa"/>
            <w:vAlign w:val="bottom"/>
            <w:tcBorders>
              <w:bottom w:val="single" w:sz="8" w:color="auto"/>
            </w:tcBorders>
          </w:tcPr>
          <w:p>
            <w:pPr>
              <w:spacing w:after="0"/>
              <w:rPr>
                <w:sz w:val="24"/>
                <w:szCs w:val="24"/>
                <w:color w:val="auto"/>
              </w:rPr>
            </w:pPr>
          </w:p>
        </w:tc>
        <w:tc>
          <w:tcPr>
            <w:tcW w:w="4500" w:type="dxa"/>
            <w:vAlign w:val="bottom"/>
            <w:tcBorders>
              <w:bottom w:val="single" w:sz="8" w:color="auto"/>
            </w:tcBorders>
          </w:tcPr>
          <w:p>
            <w:pPr>
              <w:ind w:left="2980"/>
              <w:spacing w:after="0"/>
              <w:rPr>
                <w:sz w:val="20"/>
                <w:szCs w:val="20"/>
                <w:color w:val="auto"/>
              </w:rPr>
            </w:pPr>
            <w:r>
              <w:rPr>
                <w:rFonts w:ascii="Times New Roman" w:cs="Times New Roman" w:eastAsia="Times New Roman" w:hAnsi="Times New Roman"/>
                <w:sz w:val="24"/>
                <w:szCs w:val="24"/>
                <w:color w:val="auto"/>
              </w:rPr>
              <w:t>Таблица № 2</w:t>
            </w:r>
          </w:p>
        </w:tc>
      </w:tr>
      <w:tr>
        <w:trPr>
          <w:trHeight w:val="266"/>
        </w:trPr>
        <w:tc>
          <w:tcPr>
            <w:tcW w:w="4440" w:type="dxa"/>
            <w:vAlign w:val="bottom"/>
            <w:tcBorders>
              <w:left w:val="single" w:sz="8" w:color="auto"/>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b w:val="1"/>
                <w:bCs w:val="1"/>
                <w:color w:val="auto"/>
              </w:rPr>
              <w:t xml:space="preserve">Степен на въздействие по </w:t>
            </w:r>
            <w:r>
              <w:rPr>
                <w:rFonts w:ascii="Times New Roman" w:cs="Times New Roman" w:eastAsia="Times New Roman" w:hAnsi="Times New Roman"/>
                <w:sz w:val="24"/>
                <w:szCs w:val="24"/>
                <w:b w:val="1"/>
                <w:bCs w:val="1"/>
                <w:i w:val="1"/>
                <w:iCs w:val="1"/>
                <w:color w:val="auto"/>
              </w:rPr>
              <w:t>МШК</w:t>
            </w:r>
          </w:p>
        </w:tc>
        <w:tc>
          <w:tcPr>
            <w:tcW w:w="4500" w:type="dxa"/>
            <w:vAlign w:val="bottom"/>
            <w:tcBorders>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b w:val="1"/>
                <w:bCs w:val="1"/>
                <w:color w:val="auto"/>
              </w:rPr>
              <w:t>Характер на разрушенията</w:t>
            </w:r>
          </w:p>
        </w:tc>
      </w:tr>
      <w:tr>
        <w:trPr>
          <w:trHeight w:val="266"/>
        </w:trPr>
        <w:tc>
          <w:tcPr>
            <w:tcW w:w="4440" w:type="dxa"/>
            <w:vAlign w:val="bottom"/>
            <w:tcBorders>
              <w:left w:val="single" w:sz="8" w:color="auto"/>
              <w:bottom w:val="single" w:sz="8" w:color="auto"/>
              <w:right w:val="single" w:sz="8" w:color="auto"/>
            </w:tcBorders>
          </w:tcPr>
          <w:p>
            <w:pPr>
              <w:jc w:val="center"/>
              <w:ind w:left="420"/>
              <w:spacing w:after="0" w:line="265" w:lineRule="exact"/>
              <w:rPr>
                <w:sz w:val="20"/>
                <w:szCs w:val="20"/>
                <w:color w:val="auto"/>
              </w:rPr>
            </w:pPr>
            <w:r>
              <w:rPr>
                <w:rFonts w:ascii="Times New Roman" w:cs="Times New Roman" w:eastAsia="Times New Roman" w:hAnsi="Times New Roman"/>
                <w:sz w:val="24"/>
                <w:szCs w:val="24"/>
                <w:i w:val="1"/>
                <w:iCs w:val="1"/>
                <w:color w:val="auto"/>
                <w:w w:val="99"/>
              </w:rPr>
              <w:t>До VI степен</w:t>
            </w:r>
          </w:p>
        </w:tc>
        <w:tc>
          <w:tcPr>
            <w:tcW w:w="4500" w:type="dxa"/>
            <w:vAlign w:val="bottom"/>
            <w:tcBorders>
              <w:bottom w:val="single" w:sz="8" w:color="auto"/>
              <w:right w:val="single" w:sz="8" w:color="auto"/>
            </w:tcBorders>
          </w:tcPr>
          <w:p>
            <w:pPr>
              <w:jc w:val="center"/>
              <w:ind w:left="440"/>
              <w:spacing w:after="0" w:line="265" w:lineRule="exact"/>
              <w:rPr>
                <w:sz w:val="20"/>
                <w:szCs w:val="20"/>
                <w:color w:val="auto"/>
              </w:rPr>
            </w:pPr>
            <w:r>
              <w:rPr>
                <w:rFonts w:ascii="Times New Roman" w:cs="Times New Roman" w:eastAsia="Times New Roman" w:hAnsi="Times New Roman"/>
                <w:sz w:val="24"/>
                <w:szCs w:val="24"/>
                <w:i w:val="1"/>
                <w:iCs w:val="1"/>
                <w:color w:val="auto"/>
                <w:w w:val="99"/>
              </w:rPr>
              <w:t>Леки</w:t>
            </w:r>
          </w:p>
        </w:tc>
      </w:tr>
      <w:tr>
        <w:trPr>
          <w:trHeight w:val="268"/>
        </w:trPr>
        <w:tc>
          <w:tcPr>
            <w:tcW w:w="4440" w:type="dxa"/>
            <w:vAlign w:val="bottom"/>
            <w:tcBorders>
              <w:left w:val="single" w:sz="8" w:color="auto"/>
              <w:bottom w:val="single" w:sz="8" w:color="auto"/>
              <w:right w:val="single" w:sz="8" w:color="auto"/>
            </w:tcBorders>
          </w:tcPr>
          <w:p>
            <w:pPr>
              <w:jc w:val="center"/>
              <w:ind w:left="440"/>
              <w:spacing w:after="0" w:line="268" w:lineRule="exact"/>
              <w:rPr>
                <w:sz w:val="20"/>
                <w:szCs w:val="20"/>
                <w:color w:val="auto"/>
              </w:rPr>
            </w:pPr>
            <w:r>
              <w:rPr>
                <w:rFonts w:ascii="Times New Roman" w:cs="Times New Roman" w:eastAsia="Times New Roman" w:hAnsi="Times New Roman"/>
                <w:sz w:val="24"/>
                <w:szCs w:val="24"/>
                <w:i w:val="1"/>
                <w:iCs w:val="1"/>
                <w:color w:val="auto"/>
                <w:w w:val="99"/>
              </w:rPr>
              <w:t>VI-IX степен</w:t>
            </w:r>
          </w:p>
        </w:tc>
        <w:tc>
          <w:tcPr>
            <w:tcW w:w="4500" w:type="dxa"/>
            <w:vAlign w:val="bottom"/>
            <w:tcBorders>
              <w:bottom w:val="single" w:sz="8" w:color="auto"/>
              <w:right w:val="single" w:sz="8" w:color="auto"/>
            </w:tcBorders>
          </w:tcPr>
          <w:p>
            <w:pPr>
              <w:jc w:val="center"/>
              <w:ind w:left="420"/>
              <w:spacing w:after="0" w:line="268" w:lineRule="exact"/>
              <w:rPr>
                <w:sz w:val="20"/>
                <w:szCs w:val="20"/>
                <w:color w:val="auto"/>
              </w:rPr>
            </w:pPr>
            <w:r>
              <w:rPr>
                <w:rFonts w:ascii="Times New Roman" w:cs="Times New Roman" w:eastAsia="Times New Roman" w:hAnsi="Times New Roman"/>
                <w:sz w:val="24"/>
                <w:szCs w:val="24"/>
                <w:i w:val="1"/>
                <w:iCs w:val="1"/>
                <w:color w:val="auto"/>
                <w:w w:val="97"/>
              </w:rPr>
              <w:t>Тежки</w:t>
            </w:r>
          </w:p>
        </w:tc>
      </w:tr>
    </w:tbl>
    <w:p>
      <w:pPr>
        <w:spacing w:after="0" w:line="24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color w:val="auto"/>
        </w:rPr>
        <w:t>Приложената по-долу карта представлява сеизмично райониране на територията на страната</w:t>
      </w:r>
      <w:r>
        <w:rPr>
          <w:rFonts w:ascii="Times New Roman" w:cs="Times New Roman" w:eastAsia="Times New Roman" w:hAnsi="Times New Roman"/>
          <w:sz w:val="24"/>
          <w:szCs w:val="24"/>
          <w:i w:val="1"/>
          <w:iCs w:val="1"/>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11430</wp:posOffset>
            </wp:positionV>
            <wp:extent cx="6553200" cy="26416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extLst>
                    </a:blip>
                    <a:srcRect/>
                    <a:stretch>
                      <a:fillRect/>
                    </a:stretch>
                  </pic:blipFill>
                  <pic:spPr bwMode="auto">
                    <a:xfrm>
                      <a:off x="0" y="0"/>
                      <a:ext cx="6553200" cy="264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508"/>
        <w:spacing w:after="0"/>
        <w:rPr>
          <w:sz w:val="20"/>
          <w:szCs w:val="20"/>
          <w:color w:val="auto"/>
        </w:rPr>
      </w:pPr>
      <w:r>
        <w:rPr>
          <w:rFonts w:ascii="Times New Roman" w:cs="Times New Roman" w:eastAsia="Times New Roman" w:hAnsi="Times New Roman"/>
          <w:sz w:val="24"/>
          <w:szCs w:val="24"/>
          <w:b w:val="1"/>
          <w:bCs w:val="1"/>
          <w:color w:val="auto"/>
        </w:rPr>
        <w:t xml:space="preserve">Фиг. 3. </w:t>
      </w:r>
      <w:r>
        <w:rPr>
          <w:rFonts w:ascii="Times New Roman" w:cs="Times New Roman" w:eastAsia="Times New Roman" w:hAnsi="Times New Roman"/>
          <w:sz w:val="24"/>
          <w:szCs w:val="24"/>
          <w:color w:val="auto"/>
        </w:rPr>
        <w:t>Сеизмично райониране на Р. България</w:t>
      </w:r>
    </w:p>
    <w:p>
      <w:pPr>
        <w:spacing w:after="0" w:line="123" w:lineRule="exact"/>
        <w:rPr>
          <w:sz w:val="20"/>
          <w:szCs w:val="20"/>
          <w:color w:val="auto"/>
        </w:rPr>
      </w:pPr>
    </w:p>
    <w:p>
      <w:pPr>
        <w:ind w:left="1029" w:right="60" w:hanging="453"/>
        <w:spacing w:after="0"/>
        <w:tabs>
          <w:tab w:leader="none" w:pos="1008" w:val="left"/>
        </w:tabs>
        <w:rPr>
          <w:sz w:val="20"/>
          <w:szCs w:val="20"/>
          <w:color w:val="auto"/>
        </w:rPr>
      </w:pPr>
      <w:r>
        <w:rPr>
          <w:rFonts w:ascii="Times New Roman" w:cs="Times New Roman" w:eastAsia="Times New Roman" w:hAnsi="Times New Roman"/>
          <w:sz w:val="24"/>
          <w:szCs w:val="24"/>
          <w:b w:val="1"/>
          <w:bCs w:val="1"/>
          <w:i w:val="1"/>
          <w:iCs w:val="1"/>
          <w:color w:val="auto"/>
        </w:rPr>
        <w:t>4.3</w:t>
      </w:r>
      <w:r>
        <w:rPr>
          <w:sz w:val="20"/>
          <w:szCs w:val="20"/>
          <w:color w:val="auto"/>
        </w:rPr>
        <w:tab/>
      </w:r>
      <w:r>
        <w:rPr>
          <w:rFonts w:ascii="Times New Roman" w:cs="Times New Roman" w:eastAsia="Times New Roman" w:hAnsi="Times New Roman"/>
          <w:sz w:val="24"/>
          <w:szCs w:val="24"/>
          <w:b w:val="1"/>
          <w:bCs w:val="1"/>
          <w:i w:val="1"/>
          <w:iCs w:val="1"/>
          <w:color w:val="auto"/>
        </w:rPr>
        <w:t>Наличие на подземни и надземни комуникации, водни обекти, санитарно-охранителни зони, сгради и други в района на съоръжението за минни отпадъци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Връзката на находище „Глория с републиканската пътна мрежа се предвижда да се осъществи посредством съществуващ черен горски път, прокаран за обсужване на земеделските имоти в района от концесионната площ до южните покрайнини на с. Мало Пещене с дължина около 2,5 km,</w:t>
      </w:r>
    </w:p>
    <w:p>
      <w:pPr>
        <w:ind w:left="9" w:right="60" w:hanging="9"/>
        <w:spacing w:after="0"/>
        <w:tabs>
          <w:tab w:leader="none" w:pos="225"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 там по третокласния асфалтов общински път, свързващ с. Мало Пещене със с. Баница до трасето на второкласния републикански път, свързващ гр. Враца с гр. Борован.</w:t>
      </w:r>
    </w:p>
    <w:p>
      <w:pPr>
        <w:ind w:left="569"/>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Юг-югозападно от площта преминава р. Скът, приток на р. Огоста.</w:t>
      </w:r>
    </w:p>
    <w:p>
      <w:pPr>
        <w:ind w:left="9" w:right="60" w:firstLine="566"/>
        <w:spacing w:after="0" w:line="25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3"/>
          <w:szCs w:val="23"/>
          <w:color w:val="auto"/>
        </w:rPr>
        <w:t>Находище „Глория” не попада в чувствителни, уязвими и защитени зони, както и в санитарно– охранителни зони, определени в съответствие с изискванията на Наредба № 3/16.10.2000 г.</w:t>
      </w:r>
    </w:p>
    <w:p>
      <w:pPr>
        <w:spacing w:after="0" w:line="1" w:lineRule="exact"/>
        <w:rPr>
          <w:rFonts w:ascii="Times New Roman" w:cs="Times New Roman" w:eastAsia="Times New Roman" w:hAnsi="Times New Roman"/>
          <w:sz w:val="24"/>
          <w:szCs w:val="24"/>
          <w:color w:val="auto"/>
        </w:rPr>
      </w:pPr>
    </w:p>
    <w:p>
      <w:pPr>
        <w:ind w:left="9" w:right="60" w:firstLine="566"/>
        <w:spacing w:after="0" w:line="272"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Находището не попада в резервати, зони, територии и площи със специален статут на ползване и управление.</w:t>
      </w:r>
    </w:p>
    <w:p>
      <w:pPr>
        <w:spacing w:after="0" w:line="42"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4.4 Защитени територии и защитени зони</w:t>
      </w:r>
    </w:p>
    <w:p>
      <w:pPr>
        <w:jc w:val="both"/>
        <w:ind w:left="9" w:right="60" w:firstLine="566"/>
        <w:spacing w:after="0" w:line="241" w:lineRule="auto"/>
        <w:rPr>
          <w:sz w:val="20"/>
          <w:szCs w:val="20"/>
          <w:color w:val="auto"/>
        </w:rPr>
      </w:pPr>
      <w:r>
        <w:rPr>
          <w:rFonts w:ascii="Times New Roman" w:cs="Times New Roman" w:eastAsia="Times New Roman" w:hAnsi="Times New Roman"/>
          <w:sz w:val="24"/>
          <w:szCs w:val="24"/>
          <w:color w:val="auto"/>
        </w:rPr>
        <w:t xml:space="preserve">Инвестиционното предложение </w:t>
      </w:r>
      <w:r>
        <w:rPr>
          <w:rFonts w:ascii="Times New Roman" w:cs="Times New Roman" w:eastAsia="Times New Roman" w:hAnsi="Times New Roman"/>
          <w:sz w:val="24"/>
          <w:szCs w:val="24"/>
          <w:b w:val="1"/>
          <w:bCs w:val="1"/>
          <w:color w:val="auto"/>
        </w:rPr>
        <w:t>не засяга</w:t>
      </w:r>
      <w:r>
        <w:rPr>
          <w:rFonts w:ascii="Times New Roman" w:cs="Times New Roman" w:eastAsia="Times New Roman" w:hAnsi="Times New Roman"/>
          <w:sz w:val="24"/>
          <w:szCs w:val="24"/>
          <w:color w:val="auto"/>
        </w:rPr>
        <w:t xml:space="preserve"> защитени територии по смисъла на Закона за защитените територии (ЗЗТ), и не попада в границите на защитени зони по смисъла на Закона за биологичното разнообразие (ЗБР).</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Най-близко разположената защитена зона, на 11 км от концесионната площ е BG0000601 „Каленска пещера” за опазване на природните местообитания и дивата флора и фауна, включена в списъка със защитени зони с Решение №122/02.03.2007г на Министерски съвет (ДВ, бр. 21/2007г.).</w:t>
      </w:r>
    </w:p>
    <w:p>
      <w:pPr>
        <w:jc w:val="both"/>
        <w:ind w:left="9" w:right="60" w:firstLine="626"/>
        <w:spacing w:after="0" w:line="248" w:lineRule="auto"/>
        <w:rPr>
          <w:sz w:val="20"/>
          <w:szCs w:val="20"/>
          <w:color w:val="auto"/>
        </w:rPr>
      </w:pPr>
      <w:r>
        <w:rPr>
          <w:rFonts w:ascii="Times New Roman" w:cs="Times New Roman" w:eastAsia="Times New Roman" w:hAnsi="Times New Roman"/>
          <w:sz w:val="24"/>
          <w:szCs w:val="24"/>
          <w:color w:val="auto"/>
        </w:rPr>
        <w:t xml:space="preserve">На основание чл.39, ал.3 от Наредбата за ОС, въз основа на критериите по чл.16 от нея, е направена преценка за вероятната степен на отрицателно въздействие, според която инвестиционното предложение </w:t>
      </w:r>
      <w:r>
        <w:rPr>
          <w:rFonts w:ascii="Times New Roman" w:cs="Times New Roman" w:eastAsia="Times New Roman" w:hAnsi="Times New Roman"/>
          <w:sz w:val="24"/>
          <w:szCs w:val="24"/>
          <w:b w:val="1"/>
          <w:bCs w:val="1"/>
          <w:color w:val="auto"/>
        </w:rPr>
        <w:t>няма вероятност да окаже значително отрицателно въздействие</w:t>
      </w:r>
      <w:r>
        <w:rPr>
          <w:rFonts w:ascii="Times New Roman" w:cs="Times New Roman" w:eastAsia="Times New Roman" w:hAnsi="Times New Roman"/>
          <w:sz w:val="24"/>
          <w:szCs w:val="24"/>
          <w:color w:val="auto"/>
        </w:rPr>
        <w:t xml:space="preserve"> върху природни местообитания, популации и местообитания на видове, предмет на опазване в защитена зона BG0000601 „Каленска пещера”.</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4.5 Вид и категория на съоръжението за минни отпадъци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Съгласно ЗПБ минните отпадъци се депонират и съхраняват на определени за целта площадки или депа, наричани съоръжения за минни отпадъци, чието местоположение, конструкция и управление предотвратяват или максимално намаляват отрицателното им въздействие върху компонентите на околната среда и човешкото здраве, без да причиняват безпокойство чрез шум или миризми и без да влияят отрицателно на места от особен интерес.</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Съгласно чл. 16, ал. 1, от Наредбата съоръжение за минни отпадъци е всяко пространство – насипище, хвостохранилище или друго, предназначено за събиране или депониране на минни отпадъци в твърда или в течна фаза, разтвор или суспензия, за следния период:</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1.неограничен - за съоръжения от категория "А" и за съоръжения за отпадъци, охарактеризирани като опасни в плана за управление на отпадъците;</w:t>
      </w:r>
    </w:p>
    <w:p>
      <w:pPr>
        <w:jc w:val="center"/>
        <w:ind w:right="11"/>
        <w:spacing w:after="0"/>
        <w:rPr>
          <w:sz w:val="20"/>
          <w:szCs w:val="20"/>
          <w:color w:val="auto"/>
        </w:rPr>
      </w:pPr>
      <w:r>
        <w:rPr>
          <w:rFonts w:ascii="Times New Roman" w:cs="Times New Roman" w:eastAsia="Times New Roman" w:hAnsi="Times New Roman"/>
          <w:sz w:val="24"/>
          <w:szCs w:val="24"/>
          <w:color w:val="auto"/>
        </w:rPr>
        <w:t>2. над шест месеца - за съоръжения за опасни минни отпадъци, генерирани непредвидено;</w:t>
      </w:r>
    </w:p>
    <w:p>
      <w:pPr>
        <w:spacing w:after="0" w:line="1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left="9"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15875</wp:posOffset>
                </wp:positionV>
                <wp:extent cx="6552565"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2565"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499pt,1.25pt" to="515.4pt,1.25pt" o:allowincell="f" strokecolor="#969696" strokeweight="0.75pt"/>
            </w:pict>
          </mc:Fallback>
        </mc:AlternateContent>
      </w:r>
    </w:p>
    <w:p>
      <w:pPr>
        <w:spacing w:after="0" w:line="154" w:lineRule="exact"/>
        <w:rPr>
          <w:sz w:val="20"/>
          <w:szCs w:val="20"/>
          <w:color w:val="auto"/>
        </w:rPr>
      </w:pPr>
    </w:p>
    <w:p>
      <w:pPr>
        <w:ind w:left="809" w:hanging="242"/>
        <w:spacing w:after="0"/>
        <w:tabs>
          <w:tab w:leader="none" w:pos="809"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над една година - за съоръжения за неопасни неинертни отпадъци;</w:t>
      </w:r>
    </w:p>
    <w:p>
      <w:pPr>
        <w:jc w:val="both"/>
        <w:ind w:left="9" w:right="60" w:firstLine="558"/>
        <w:spacing w:after="0"/>
        <w:tabs>
          <w:tab w:leader="none" w:pos="909" w:val="left"/>
        </w:tabs>
        <w:numPr>
          <w:ilvl w:val="0"/>
          <w:numId w:val="2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i w:val="1"/>
          <w:iCs w:val="1"/>
          <w:color w:val="auto"/>
        </w:rPr>
        <w:t>над три години - за съоръжения за незамърсени почви, неопасни отпадъци от проучване, инертни отпадъци и отпадъци, получени при добив, преработка и съхранение на торф.</w:t>
      </w:r>
    </w:p>
    <w:p>
      <w:pPr>
        <w:spacing w:after="0" w:line="1" w:lineRule="exact"/>
        <w:rPr>
          <w:rFonts w:ascii="Times New Roman" w:cs="Times New Roman" w:eastAsia="Times New Roman" w:hAnsi="Times New Roman"/>
          <w:sz w:val="24"/>
          <w:szCs w:val="24"/>
          <w:b w:val="1"/>
          <w:bCs w:val="1"/>
          <w:color w:val="auto"/>
        </w:rPr>
      </w:pPr>
    </w:p>
    <w:p>
      <w:pPr>
        <w:jc w:val="both"/>
        <w:ind w:left="9" w:right="60" w:firstLine="566"/>
        <w:spacing w:after="0" w:line="239"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Според горе изложените критерии, при съхраняването на „незамърсени почви, инертни отпадъци и отпадъци, получени при добив“ за период над три години, насипището представлява</w:t>
      </w:r>
    </w:p>
    <w:p>
      <w:pPr>
        <w:spacing w:after="0" w:line="1" w:lineRule="exact"/>
        <w:rPr>
          <w:rFonts w:ascii="Times New Roman" w:cs="Times New Roman" w:eastAsia="Times New Roman" w:hAnsi="Times New Roman"/>
          <w:sz w:val="24"/>
          <w:szCs w:val="24"/>
          <w:b w:val="1"/>
          <w:bCs w:val="1"/>
          <w:color w:val="auto"/>
        </w:rPr>
      </w:pPr>
    </w:p>
    <w:p>
      <w:pPr>
        <w:ind w:left="9"/>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i w:val="1"/>
          <w:iCs w:val="1"/>
          <w:color w:val="auto"/>
        </w:rPr>
        <w:t>съоръжение за съхраняване на минни отпадъци</w:t>
      </w:r>
      <w:r>
        <w:rPr>
          <w:rFonts w:ascii="Times New Roman" w:cs="Times New Roman" w:eastAsia="Times New Roman" w:hAnsi="Times New Roman"/>
          <w:sz w:val="24"/>
          <w:szCs w:val="24"/>
          <w:b w:val="1"/>
          <w:bCs w:val="1"/>
          <w:color w:val="auto"/>
        </w:rPr>
        <w:t>.</w:t>
      </w:r>
    </w:p>
    <w:p>
      <w:pPr>
        <w:spacing w:after="0" w:line="1" w:lineRule="exact"/>
        <w:rPr>
          <w:rFonts w:ascii="Times New Roman" w:cs="Times New Roman" w:eastAsia="Times New Roman" w:hAnsi="Times New Roman"/>
          <w:sz w:val="24"/>
          <w:szCs w:val="24"/>
          <w:b w:val="1"/>
          <w:bCs w:val="1"/>
          <w:color w:val="auto"/>
        </w:rPr>
      </w:pPr>
    </w:p>
    <w:p>
      <w:pPr>
        <w:ind w:left="9" w:right="60" w:firstLine="566"/>
        <w:spacing w:after="0" w:line="238"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Съгласно чл.22, ал. 4 от ЗПБ съоръженията се категоризират според степента на тяхната опасност и риска за околната среда и човешкото здраве, като:</w:t>
      </w:r>
    </w:p>
    <w:p>
      <w:pPr>
        <w:jc w:val="both"/>
        <w:ind w:left="9" w:right="60" w:firstLine="558"/>
        <w:spacing w:after="0"/>
        <w:tabs>
          <w:tab w:leader="none" w:pos="892" w:val="left"/>
        </w:tabs>
        <w:numPr>
          <w:ilvl w:val="0"/>
          <w:numId w:val="2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 xml:space="preserve">Cъоръжения "категория А"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съоръжения за минни отпадъци,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които в резултат на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непредвидени обстоятелства или лошо управление могат да станат причина за голяма авария и/или съдържат опасни отпадъци и опасни вещества или препарати над определен праг;</w:t>
      </w:r>
    </w:p>
    <w:p>
      <w:pPr>
        <w:ind w:left="809" w:hanging="242"/>
        <w:spacing w:after="0"/>
        <w:tabs>
          <w:tab w:leader="none" w:pos="809" w:val="left"/>
        </w:tabs>
        <w:numPr>
          <w:ilvl w:val="0"/>
          <w:numId w:val="2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 xml:space="preserve">Cъоръжения "категория Б" </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всички останали съоръжения за минни отпадъци.</w:t>
      </w:r>
    </w:p>
    <w:p>
      <w:pPr>
        <w:spacing w:after="0" w:line="4" w:lineRule="exact"/>
        <w:rPr>
          <w:rFonts w:ascii="Times New Roman" w:cs="Times New Roman" w:eastAsia="Times New Roman" w:hAnsi="Times New Roman"/>
          <w:sz w:val="24"/>
          <w:szCs w:val="24"/>
          <w:b w:val="1"/>
          <w:bCs w:val="1"/>
          <w:color w:val="auto"/>
        </w:rPr>
      </w:pPr>
    </w:p>
    <w:p>
      <w:pPr>
        <w:jc w:val="both"/>
        <w:ind w:left="9" w:right="60" w:firstLine="566"/>
        <w:spacing w:after="0" w:line="244"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 xml:space="preserve">Въз основа на качествената характеристика и на състава на минния отпадък, включително на промените му в резултат на възможни вторични въздействия, както и на степента на стабилност на съоръжението според неговите технически характеристики </w:t>
      </w:r>
      <w:r>
        <w:rPr>
          <w:rFonts w:ascii="Times New Roman" w:cs="Times New Roman" w:eastAsia="Times New Roman" w:hAnsi="Times New Roman"/>
          <w:sz w:val="24"/>
          <w:szCs w:val="24"/>
          <w:b w:val="1"/>
          <w:bCs w:val="1"/>
          <w:color w:val="auto"/>
        </w:rPr>
        <w:t>съоръжението за минни отпадъци от</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находище „Глория” се категоризира като "категория Б"</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тъй като:</w:t>
      </w:r>
    </w:p>
    <w:p>
      <w:pPr>
        <w:ind w:left="1289" w:right="60" w:hanging="362"/>
        <w:spacing w:after="0" w:line="239" w:lineRule="auto"/>
        <w:tabs>
          <w:tab w:leader="none" w:pos="1289" w:val="left"/>
        </w:tabs>
        <w:numPr>
          <w:ilvl w:val="1"/>
          <w:numId w:val="23"/>
        </w:numPr>
        <w:rPr>
          <w:rFonts w:ascii="Symbol" w:cs="Symbol" w:eastAsia="Symbol" w:hAnsi="Symbol"/>
          <w:sz w:val="24"/>
          <w:szCs w:val="24"/>
          <w:color w:val="auto"/>
        </w:rPr>
      </w:pPr>
      <w:r>
        <w:rPr>
          <w:rFonts w:ascii="Times New Roman" w:cs="Times New Roman" w:eastAsia="Times New Roman" w:hAnsi="Times New Roman"/>
          <w:sz w:val="24"/>
          <w:szCs w:val="24"/>
          <w:color w:val="auto"/>
        </w:rPr>
        <w:t>съоръжението не съдържа потенциал за голяма авария в резултат на непредвидени обстоятелства или лошо управление;</w:t>
      </w:r>
    </w:p>
    <w:p>
      <w:pPr>
        <w:spacing w:after="0" w:line="1" w:lineRule="exact"/>
        <w:rPr>
          <w:rFonts w:ascii="Symbol" w:cs="Symbol" w:eastAsia="Symbol" w:hAnsi="Symbol"/>
          <w:sz w:val="24"/>
          <w:szCs w:val="24"/>
          <w:color w:val="auto"/>
        </w:rPr>
      </w:pPr>
    </w:p>
    <w:p>
      <w:pPr>
        <w:ind w:left="1289" w:right="60" w:hanging="362"/>
        <w:spacing w:after="0" w:line="255" w:lineRule="auto"/>
        <w:tabs>
          <w:tab w:leader="none" w:pos="1289" w:val="left"/>
        </w:tabs>
        <w:numPr>
          <w:ilvl w:val="1"/>
          <w:numId w:val="23"/>
        </w:numPr>
        <w:rPr>
          <w:rFonts w:ascii="Symbol" w:cs="Symbol" w:eastAsia="Symbol" w:hAnsi="Symbol"/>
          <w:sz w:val="24"/>
          <w:szCs w:val="24"/>
          <w:color w:val="auto"/>
        </w:rPr>
      </w:pPr>
      <w:r>
        <w:rPr>
          <w:rFonts w:ascii="Times New Roman" w:cs="Times New Roman" w:eastAsia="Times New Roman" w:hAnsi="Times New Roman"/>
          <w:sz w:val="24"/>
          <w:szCs w:val="24"/>
          <w:color w:val="auto"/>
        </w:rPr>
        <w:t>минните отпадъци, които ще се съхраняват не съдържат опасни отпадъци и опасни вещества.</w:t>
      </w:r>
    </w:p>
    <w:p>
      <w:pPr>
        <w:spacing w:after="0" w:line="215" w:lineRule="exact"/>
        <w:rPr>
          <w:rFonts w:ascii="Symbol" w:cs="Symbol" w:eastAsia="Symbol" w:hAnsi="Symbol"/>
          <w:sz w:val="24"/>
          <w:szCs w:val="24"/>
          <w:color w:val="auto"/>
        </w:rPr>
      </w:pPr>
    </w:p>
    <w:p>
      <w:pPr>
        <w:ind w:left="9" w:right="60" w:firstLine="558"/>
        <w:spacing w:after="0" w:line="278" w:lineRule="auto"/>
        <w:tabs>
          <w:tab w:leader="none" w:pos="892" w:val="left"/>
        </w:tabs>
        <w:numPr>
          <w:ilvl w:val="0"/>
          <w:numId w:val="2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РИСКОВЕ ЗА ОКОЛНАТА СРЕДА И ЗА БЕЗОПАСНОСТТА И ЗДРАВЕТО НА ЧОВЕКА И МЕРКИ ЗА ПРЕДОТВРАТЯВАНЕТО ИМ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-74295</wp:posOffset>
                </wp:positionH>
                <wp:positionV relativeFrom="paragraph">
                  <wp:posOffset>-406400</wp:posOffset>
                </wp:positionV>
                <wp:extent cx="6721475"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32pt" to="523.4pt,-3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-74295</wp:posOffset>
                </wp:positionH>
                <wp:positionV relativeFrom="paragraph">
                  <wp:posOffset>-23495</wp:posOffset>
                </wp:positionV>
                <wp:extent cx="6721475"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1475"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499pt,-1.8499pt" to="523.4pt,-1.8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-71120</wp:posOffset>
                </wp:positionH>
                <wp:positionV relativeFrom="paragraph">
                  <wp:posOffset>-409575</wp:posOffset>
                </wp:positionV>
                <wp:extent cx="0" cy="38862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999pt,-32.2499pt" to="-5.5999pt,-1.64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6644640</wp:posOffset>
                </wp:positionH>
                <wp:positionV relativeFrom="paragraph">
                  <wp:posOffset>-409575</wp:posOffset>
                </wp:positionV>
                <wp:extent cx="0" cy="38862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3.2pt,-32.2499pt" to="523.2pt,-1.6499pt" o:allowincell="f" strokecolor="#000000" strokeweight="0.4809pt"/>
            </w:pict>
          </mc:Fallback>
        </mc:AlternateContent>
      </w:r>
    </w:p>
    <w:p>
      <w:pPr>
        <w:spacing w:after="0" w:line="4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5.1 Местоположение на СМО</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Почвените материали ще се депонират на изградено външно насипище в южната част на концесионната площ.</w:t>
      </w:r>
    </w:p>
    <w:p>
      <w:pPr>
        <w:jc w:val="both"/>
        <w:ind w:left="9" w:right="60" w:firstLine="566"/>
        <w:spacing w:after="0" w:line="250" w:lineRule="auto"/>
        <w:rPr>
          <w:sz w:val="20"/>
          <w:szCs w:val="20"/>
          <w:color w:val="auto"/>
        </w:rPr>
      </w:pPr>
      <w:r>
        <w:rPr>
          <w:rFonts w:ascii="Times New Roman" w:cs="Times New Roman" w:eastAsia="Times New Roman" w:hAnsi="Times New Roman"/>
          <w:sz w:val="24"/>
          <w:szCs w:val="24"/>
          <w:color w:val="auto"/>
        </w:rPr>
        <w:t>Скалната откривка от песъчлива глина в началния етап на експлоатация ще се депонира също на външно насипище в южната част, но в рамките на концесионната площ, а след освобождаване на достатъчно място вследствие на добива ще се депонира директно във вътрешни насипища в отработеното пространство.</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5.2. Физическа стабилност на СМО</w:t>
      </w:r>
    </w:p>
    <w:p>
      <w:pPr>
        <w:spacing w:after="0" w:line="1" w:lineRule="exact"/>
        <w:rPr>
          <w:sz w:val="20"/>
          <w:szCs w:val="20"/>
          <w:color w:val="auto"/>
        </w:rPr>
      </w:pPr>
    </w:p>
    <w:p>
      <w:pPr>
        <w:jc w:val="both"/>
        <w:ind w:left="9" w:right="60" w:firstLine="566"/>
        <w:spacing w:after="0" w:line="248" w:lineRule="auto"/>
        <w:rPr>
          <w:sz w:val="20"/>
          <w:szCs w:val="20"/>
          <w:color w:val="auto"/>
        </w:rPr>
      </w:pPr>
      <w:r>
        <w:rPr>
          <w:rFonts w:ascii="Times New Roman" w:cs="Times New Roman" w:eastAsia="Times New Roman" w:hAnsi="Times New Roman"/>
          <w:sz w:val="24"/>
          <w:szCs w:val="24"/>
          <w:color w:val="auto"/>
        </w:rPr>
        <w:t>Минните отпадъци, които ще се депонират на депата за почви и скална откривка, ще съдържат почвени материали и изветрял повърхностен слой пясъчник с много малко съдържание на глауконит. При насипообразуването ще се създава една взаимна уплътняемост до достигане на устойчив ъгъл на откоса от 45°, който ще се формира при насипването. Насипището ще бъде едностъпално.</w:t>
      </w:r>
    </w:p>
    <w:p>
      <w:pPr>
        <w:spacing w:after="0" w:line="73"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5.3. Опазване на почвата, въздуха и водите от замърсяване</w:t>
      </w:r>
    </w:p>
    <w:p>
      <w:pPr>
        <w:spacing w:after="0" w:line="120" w:lineRule="exact"/>
        <w:rPr>
          <w:sz w:val="20"/>
          <w:szCs w:val="20"/>
          <w:color w:val="auto"/>
        </w:rPr>
      </w:pPr>
    </w:p>
    <w:p>
      <w:pPr>
        <w:ind w:left="569"/>
        <w:spacing w:after="0"/>
        <w:rPr>
          <w:sz w:val="20"/>
          <w:szCs w:val="20"/>
          <w:color w:val="auto"/>
        </w:rPr>
      </w:pPr>
      <w:r>
        <w:rPr>
          <w:rFonts w:ascii="Times New Roman" w:cs="Times New Roman" w:eastAsia="Times New Roman" w:hAnsi="Times New Roman"/>
          <w:sz w:val="24"/>
          <w:szCs w:val="24"/>
          <w:b w:val="1"/>
          <w:bCs w:val="1"/>
          <w:i w:val="1"/>
          <w:iCs w:val="1"/>
          <w:color w:val="auto"/>
        </w:rPr>
        <w:t>5.3.1 Почви</w:t>
      </w:r>
    </w:p>
    <w:p>
      <w:pPr>
        <w:spacing w:after="0" w:line="1" w:lineRule="exact"/>
        <w:rPr>
          <w:sz w:val="20"/>
          <w:szCs w:val="20"/>
          <w:color w:val="auto"/>
        </w:rPr>
      </w:pP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Нарушени терени в концесионната площ, за която ще се кандидатства, ще са площта на доказаните запаси в Блок 1 (111) и площите заети от временните депа за почвен слой и откривка, санитарно-битовата площадка, терените за пътищата, в границата на необходимата площ за осъществяване на дейността по бъдещата концесията.</w:t>
      </w:r>
    </w:p>
    <w:p>
      <w:pPr>
        <w:jc w:val="both"/>
        <w:ind w:left="9" w:right="60" w:firstLine="566"/>
        <w:spacing w:after="0"/>
        <w:rPr>
          <w:sz w:val="20"/>
          <w:szCs w:val="20"/>
          <w:color w:val="auto"/>
        </w:rPr>
      </w:pPr>
      <w:r>
        <w:rPr>
          <w:rFonts w:ascii="Times New Roman" w:cs="Times New Roman" w:eastAsia="Times New Roman" w:hAnsi="Times New Roman"/>
          <w:sz w:val="24"/>
          <w:szCs w:val="24"/>
          <w:color w:val="auto"/>
        </w:rPr>
        <w:t>За почвите извън границите на концесията, въздействието при експлоатацията на находището ще е незначително, не се очаква промяна в категорията им структурата и продуктивността им.</w:t>
      </w:r>
    </w:p>
    <w:p>
      <w:pPr>
        <w:ind w:left="569"/>
        <w:spacing w:after="0"/>
        <w:rPr>
          <w:sz w:val="20"/>
          <w:szCs w:val="20"/>
          <w:color w:val="auto"/>
        </w:rPr>
      </w:pPr>
      <w:r>
        <w:rPr>
          <w:rFonts w:ascii="Times New Roman" w:cs="Times New Roman" w:eastAsia="Times New Roman" w:hAnsi="Times New Roman"/>
          <w:sz w:val="24"/>
          <w:szCs w:val="24"/>
          <w:color w:val="auto"/>
        </w:rPr>
        <w:t>Замърсени с твърди строителни и промишлени отпадъци земи на територията на концесията и</w:t>
      </w:r>
    </w:p>
    <w:p>
      <w:pPr>
        <w:jc w:val="both"/>
        <w:ind w:left="9" w:right="60" w:hanging="9"/>
        <w:spacing w:after="0" w:line="250" w:lineRule="auto"/>
        <w:tabs>
          <w:tab w:leader="none" w:pos="186"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граничещите непосредствено до нея земи не се очаква. Визуално ще се установява замърсяване на терена на площадката с промишлено отделения прах. Засегнатите площи са условно замърсени, тъй като фактически те съпровождат технологичния процес. Химичният и минерален състав на глауконитовите пясъчници показват, че те не могат да променят минералния състав и химичните</w:t>
      </w:r>
    </w:p>
    <w:p>
      <w:pPr>
        <w:spacing w:after="0" w:line="166"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-60325</wp:posOffset>
            </wp:positionV>
            <wp:extent cx="6438900" cy="285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9"/>
          </w:cols>
          <w:pgMar w:left="991" w:top="376" w:right="511" w:bottom="0" w:gutter="0" w:footer="0" w:header="0"/>
        </w:sectPr>
      </w:pPr>
    </w:p>
    <w:p>
      <w:pPr>
        <w:spacing w:after="0" w:line="2" w:lineRule="exact"/>
        <w:rPr>
          <w:sz w:val="20"/>
          <w:szCs w:val="20"/>
          <w:color w:val="auto"/>
        </w:rPr>
      </w:pPr>
    </w:p>
    <w:p>
      <w:pPr>
        <w:jc w:val="center"/>
        <w:ind w:right="6751"/>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71"/>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9"/>
          </w:cols>
          <w:pgMar w:left="991"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rPr>
          <w:sz w:val="20"/>
          <w:szCs w:val="20"/>
          <w:color w:val="auto"/>
        </w:rPr>
      </w:pPr>
      <w:r>
        <w:rPr>
          <w:rFonts w:ascii="Times New Roman" w:cs="Times New Roman" w:eastAsia="Times New Roman" w:hAnsi="Times New Roman"/>
          <w:sz w:val="24"/>
          <w:szCs w:val="24"/>
          <w:color w:val="auto"/>
        </w:rPr>
        <w:t>свойства на земите в близост до обекта. Замърсяване на почвената покривка извън земите в концесионната площ не се очаква. Замърсени с вредни вещества земи на територията на необходимата площ по бъдещата концесия и в близост до нея не се очакват.</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При експлоатацията на обекта не се очаква развитие на деградационни процеси на почвите в ненарушените прилежащи терени. Водната и ветровата ерозия на почвата в района няма да се повлиява от експлоатацията на находището.</w:t>
      </w:r>
    </w:p>
    <w:p>
      <w:pPr>
        <w:jc w:val="both"/>
        <w:ind w:right="60" w:firstLine="558"/>
        <w:spacing w:after="0"/>
        <w:tabs>
          <w:tab w:leader="none" w:pos="787" w:val="left"/>
        </w:tabs>
        <w:numPr>
          <w:ilvl w:val="1"/>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осъществяване на дейността по бъдещата концесията ще се отстранява почвената покривка в рамките на определените участъци в концесионната площ, което е временно, с малък териториален обхват, дълготрайно, без кумулативни и комбинирани въздействия и с възможност за възстановяване.</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Предвиждат се следните мерки:</w:t>
      </w:r>
    </w:p>
    <w:p>
      <w:pPr>
        <w:spacing w:after="0" w:line="19" w:lineRule="exact"/>
        <w:rPr>
          <w:rFonts w:ascii="Times New Roman" w:cs="Times New Roman" w:eastAsia="Times New Roman" w:hAnsi="Times New Roman"/>
          <w:sz w:val="24"/>
          <w:szCs w:val="24"/>
          <w:color w:val="auto"/>
        </w:rPr>
      </w:pPr>
    </w:p>
    <w:p>
      <w:pPr>
        <w:jc w:val="both"/>
        <w:ind w:left="720" w:right="60" w:hanging="369"/>
        <w:spacing w:after="0" w:line="239" w:lineRule="auto"/>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спазва проекта за поетапна техническа и биологическа рекултивация на отработените пространства, който ще бъде неразделна част от Цялостния работен проект за експлоатация на находище „Глория”;</w:t>
      </w:r>
    </w:p>
    <w:p>
      <w:pPr>
        <w:spacing w:after="0" w:line="2" w:lineRule="exact"/>
        <w:rPr>
          <w:rFonts w:ascii="Symbol" w:cs="Symbol" w:eastAsia="Symbol" w:hAnsi="Symbol"/>
          <w:sz w:val="24"/>
          <w:szCs w:val="24"/>
          <w:color w:val="auto"/>
        </w:rPr>
      </w:pPr>
    </w:p>
    <w:p>
      <w:pPr>
        <w:ind w:left="720" w:hanging="369"/>
        <w:spacing w:after="0" w:line="239" w:lineRule="auto"/>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не се допуска замърсяване на земите извън концесионната площ;</w:t>
      </w:r>
    </w:p>
    <w:p>
      <w:pPr>
        <w:ind w:left="720" w:hanging="369"/>
        <w:spacing w:after="0"/>
        <w:tabs>
          <w:tab w:leader="none" w:pos="720" w:val="left"/>
        </w:tabs>
        <w:numPr>
          <w:ilvl w:val="0"/>
          <w:numId w:val="26"/>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води точна отчетност на нарушените терени.</w:t>
      </w:r>
    </w:p>
    <w:p>
      <w:pPr>
        <w:spacing w:after="0" w:line="101"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5.3.2. Въздух</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Главните емисии, които влияят, но за кратко време на околната среда, са отделящите се в процеса на експлоатация на находището газови и прахови емисии. Количеството на отделения прах ще е по-съществено, но краткотрайно и няма да окаже трайни последици върху климата и околната среда на района на концесията, за която ще се кандидатства.</w:t>
      </w:r>
    </w:p>
    <w:p>
      <w:pPr>
        <w:jc w:val="both"/>
        <w:ind w:right="60" w:firstLine="566"/>
        <w:spacing w:after="0" w:line="239" w:lineRule="auto"/>
        <w:rPr>
          <w:sz w:val="20"/>
          <w:szCs w:val="20"/>
          <w:color w:val="auto"/>
        </w:rPr>
      </w:pPr>
      <w:r>
        <w:rPr>
          <w:rFonts w:ascii="Times New Roman" w:cs="Times New Roman" w:eastAsia="Times New Roman" w:hAnsi="Times New Roman"/>
          <w:sz w:val="24"/>
          <w:szCs w:val="24"/>
          <w:color w:val="auto"/>
        </w:rPr>
        <w:t>Времето на разсейване на вредните вещества в атмосферата зависи от метеорологичните условия, посоката и силата на вятъра, депресията на температурата във височина, влажността на въздуха. Теренът на находище „Глория” е леко хълмист и е открит. Това ще прави кариерата лесно проветрива, което спомага за добър самоочистващ ефект. Въздействието върху компонентите на околната среда ще е незначително. Обхватът на действие ще е локален. Емисиите на вредните вещества от транспортните средства ще са също незначителни и практически атмосферния въздух не променя състава си. Териториалният обхват ще е малък; продължителността на въздействие – краткотрайно; честотата на въздействие – периодична; има възможност за възстановяване, не се очакват кумулативни и комбинирани въздействия;</w:t>
      </w:r>
    </w:p>
    <w:p>
      <w:pPr>
        <w:spacing w:after="0" w:line="8" w:lineRule="exact"/>
        <w:rPr>
          <w:sz w:val="20"/>
          <w:szCs w:val="20"/>
          <w:color w:val="auto"/>
        </w:rPr>
      </w:pP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За снижаване на концентрациите на вредни газове и прах в района на находището, и извън площта необходима за осъществяване на дейността по концесията, е необходимо да се спазват и прилагат следните решения и технически мероприятия:</w:t>
      </w:r>
    </w:p>
    <w:p>
      <w:pPr>
        <w:spacing w:after="0" w:line="2" w:lineRule="exact"/>
        <w:rPr>
          <w:sz w:val="20"/>
          <w:szCs w:val="20"/>
          <w:color w:val="auto"/>
        </w:rPr>
      </w:pPr>
    </w:p>
    <w:p>
      <w:pPr>
        <w:ind w:left="1280" w:right="60" w:hanging="362"/>
        <w:spacing w:after="0"/>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При булдозерни и товарно-разтоварни работи, периодично да се извършва оросяване на минната маса;</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Оросяването ще се извършва с водоноски;</w:t>
      </w:r>
    </w:p>
    <w:p>
      <w:pPr>
        <w:ind w:left="1280" w:right="6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За намаляване токсичността на газовете от дизеловите машини, да се осигурява подходящо гориво;</w:t>
      </w:r>
    </w:p>
    <w:p>
      <w:pPr>
        <w:spacing w:after="0" w:line="1" w:lineRule="exact"/>
        <w:rPr>
          <w:rFonts w:ascii="Symbol" w:cs="Symbol" w:eastAsia="Symbol" w:hAnsi="Symbol"/>
          <w:sz w:val="24"/>
          <w:szCs w:val="24"/>
          <w:color w:val="auto"/>
        </w:rPr>
      </w:pPr>
    </w:p>
    <w:p>
      <w:pPr>
        <w:jc w:val="both"/>
        <w:ind w:left="1280" w:right="6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За контрол на атмосферния въздух в кариерата периодично да се вземат прахови и газови проби като прилага мониторинг за състоянието на атмосферата в границите на обекта и извън него;</w:t>
      </w:r>
    </w:p>
    <w:p>
      <w:pPr>
        <w:spacing w:after="0" w:line="2"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осигурят необходимите газоанализатори за измерване на токсичните газове;</w:t>
      </w:r>
    </w:p>
    <w:p>
      <w:pPr>
        <w:jc w:val="both"/>
        <w:ind w:left="1280" w:right="60" w:hanging="362"/>
        <w:spacing w:after="0" w:line="247" w:lineRule="auto"/>
        <w:tabs>
          <w:tab w:leader="none" w:pos="1280" w:val="left"/>
        </w:tabs>
        <w:numPr>
          <w:ilvl w:val="0"/>
          <w:numId w:val="27"/>
        </w:numPr>
        <w:rPr>
          <w:rFonts w:ascii="Symbol" w:cs="Symbol" w:eastAsia="Symbol" w:hAnsi="Symbol"/>
          <w:sz w:val="24"/>
          <w:szCs w:val="24"/>
          <w:color w:val="auto"/>
        </w:rPr>
      </w:pPr>
      <w:r>
        <w:rPr>
          <w:rFonts w:ascii="Times New Roman" w:cs="Times New Roman" w:eastAsia="Times New Roman" w:hAnsi="Times New Roman"/>
          <w:sz w:val="24"/>
          <w:szCs w:val="24"/>
          <w:color w:val="auto"/>
        </w:rPr>
        <w:t>При избор на технологично оборудване в бъдеще, да се дава предпочитание на такова снабдено с устройство за борба с праха и газовете, при равни други условия или при отсъствие на такива с най-малка интензивност на отделяне на вредни вещества.</w:t>
      </w:r>
    </w:p>
    <w:p>
      <w:pPr>
        <w:spacing w:after="0" w:line="7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5.3.3 Води</w:t>
      </w:r>
    </w:p>
    <w:p>
      <w:pPr>
        <w:spacing w:after="0" w:line="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При разработване на находище „Глория” и при експлоатацията му за концесионния срок не се очакват промени в хидроложките и хидрогеоложки условия и качеството на водите. В резултат на експлоатацията на находището въздействието върху повърхностните и подземните води в териториален аспект ще има локален характер в района на находището.</w:t>
      </w:r>
    </w:p>
    <w:p>
      <w:pPr>
        <w:jc w:val="right"/>
        <w:ind w:right="60"/>
        <w:spacing w:after="0"/>
        <w:rPr>
          <w:sz w:val="20"/>
          <w:szCs w:val="20"/>
          <w:color w:val="auto"/>
        </w:rPr>
      </w:pPr>
      <w:r>
        <w:rPr>
          <w:rFonts w:ascii="Times New Roman" w:cs="Times New Roman" w:eastAsia="Times New Roman" w:hAnsi="Times New Roman"/>
          <w:sz w:val="24"/>
          <w:szCs w:val="24"/>
          <w:color w:val="auto"/>
        </w:rPr>
        <w:t>Предпазването на кариерата от дъждовни и снежни води – склонов отток, които могат да</w:t>
      </w:r>
    </w:p>
    <w:p>
      <w:pPr>
        <w:spacing w:after="0" w:line="8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w:r>
    </w:p>
    <w:p>
      <w:pPr>
        <w:spacing w:after="0" w:line="155" w:lineRule="exact"/>
        <w:rPr>
          <w:sz w:val="20"/>
          <w:szCs w:val="20"/>
          <w:color w:val="auto"/>
        </w:rPr>
      </w:pPr>
    </w:p>
    <w:p>
      <w:pPr>
        <w:jc w:val="both"/>
        <w:ind w:right="60"/>
        <w:spacing w:after="0"/>
        <w:rPr>
          <w:sz w:val="20"/>
          <w:szCs w:val="20"/>
          <w:color w:val="auto"/>
        </w:rPr>
      </w:pPr>
      <w:r>
        <w:rPr>
          <w:rFonts w:ascii="Times New Roman" w:cs="Times New Roman" w:eastAsia="Times New Roman" w:hAnsi="Times New Roman"/>
          <w:sz w:val="24"/>
          <w:szCs w:val="24"/>
          <w:color w:val="auto"/>
        </w:rPr>
        <w:t>навлязат в нея от околните терени, ще се извършва чрез охранителни канавки. Тези води няма да имат контакт с кариерното поле и дейностите, предвидени с инвестиционното предложение няма да въздействат върху качествата им. Формираният вследствие на валежи и снеготопене водоотлив в кариерното поле ще бъде отвеждан гравитачно към водосборници (утайници) и ще се ползва за оросяване. В процеса на добивните работи дъното на кариерното поле ще се оформя с наклон по посока на водосборниците не по-малък от 1%.</w:t>
      </w:r>
    </w:p>
    <w:p>
      <w:pPr>
        <w:jc w:val="both"/>
        <w:ind w:right="60" w:firstLine="566"/>
        <w:spacing w:after="0" w:line="272" w:lineRule="auto"/>
        <w:rPr>
          <w:sz w:val="20"/>
          <w:szCs w:val="20"/>
          <w:color w:val="auto"/>
        </w:rPr>
      </w:pPr>
      <w:r>
        <w:rPr>
          <w:rFonts w:ascii="Times New Roman" w:cs="Times New Roman" w:eastAsia="Times New Roman" w:hAnsi="Times New Roman"/>
          <w:sz w:val="24"/>
          <w:szCs w:val="24"/>
          <w:color w:val="auto"/>
        </w:rPr>
        <w:t>Замърсяване на повърхностните и подземните води от формираните отпадъчни и дъждовни води при нормални експлоатационни условия не следва да се очаква.</w:t>
      </w:r>
    </w:p>
    <w:p>
      <w:pPr>
        <w:spacing w:after="0" w:line="45"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i w:val="1"/>
          <w:iCs w:val="1"/>
          <w:color w:val="auto"/>
        </w:rPr>
        <w:t>5.3.4. Ландшафт</w:t>
      </w:r>
    </w:p>
    <w:p>
      <w:pPr>
        <w:spacing w:after="0" w:line="1" w:lineRule="exact"/>
        <w:rPr>
          <w:sz w:val="20"/>
          <w:szCs w:val="20"/>
          <w:color w:val="auto"/>
        </w:rPr>
      </w:pPr>
    </w:p>
    <w:p>
      <w:pPr>
        <w:jc w:val="both"/>
        <w:ind w:right="60" w:firstLine="566"/>
        <w:spacing w:after="0" w:line="248" w:lineRule="auto"/>
        <w:rPr>
          <w:sz w:val="20"/>
          <w:szCs w:val="20"/>
          <w:color w:val="auto"/>
        </w:rPr>
      </w:pPr>
      <w:r>
        <w:rPr>
          <w:rFonts w:ascii="Times New Roman" w:cs="Times New Roman" w:eastAsia="Times New Roman" w:hAnsi="Times New Roman"/>
          <w:sz w:val="24"/>
          <w:szCs w:val="24"/>
          <w:color w:val="auto"/>
        </w:rPr>
        <w:t>Експлоатацията на находището ще окаже влияние върху ландшафта. В случая ландшафтът постепенно ще променя своя облик. Стопанска дейност, която ще се осъществява ще води до създаване на територия с преобладаващ минно-промишен ландшафт. Ще се образуват нови теренни форми – котлован на кариерата. Въздействието на техногенния обект се минимизира чрез провеждане на мероприятия по рекултивация на обекта.</w:t>
      </w:r>
    </w:p>
    <w:p>
      <w:pPr>
        <w:spacing w:after="0" w:line="229" w:lineRule="exact"/>
        <w:rPr>
          <w:sz w:val="20"/>
          <w:szCs w:val="20"/>
          <w:color w:val="auto"/>
        </w:rPr>
      </w:pPr>
    </w:p>
    <w:p>
      <w:pPr>
        <w:jc w:val="both"/>
        <w:ind w:right="60" w:firstLine="566"/>
        <w:spacing w:after="0" w:line="252" w:lineRule="auto"/>
        <w:rPr>
          <w:sz w:val="20"/>
          <w:szCs w:val="20"/>
          <w:color w:val="auto"/>
        </w:rPr>
      </w:pPr>
      <w:r>
        <w:rPr>
          <w:rFonts w:ascii="Times New Roman" w:cs="Times New Roman" w:eastAsia="Times New Roman" w:hAnsi="Times New Roman"/>
          <w:sz w:val="24"/>
          <w:szCs w:val="24"/>
          <w:b w:val="1"/>
          <w:bCs w:val="1"/>
          <w:i w:val="1"/>
          <w:iCs w:val="1"/>
          <w:color w:val="auto"/>
        </w:rPr>
        <w:t>Влиянието на минните отпадъци върху околната среда предвид тяхното количество и качество, ще е незначително. Генерираните отпадъци няма да предизвикат замърсяване на водите, атмосферния въздух и почвите и няма да окажат влияние върху растителния и животинския свят в района на бъдещата концесионна площ „Глория”.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137160</wp:posOffset>
                </wp:positionV>
                <wp:extent cx="6722110"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8pt" to="523pt,1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519430</wp:posOffset>
                </wp:positionV>
                <wp:extent cx="672211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40.9pt" to="523pt,40.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133985</wp:posOffset>
                </wp:positionV>
                <wp:extent cx="0" cy="38862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55pt" to="-6.0499pt,41.1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133985</wp:posOffset>
                </wp:positionV>
                <wp:extent cx="0" cy="38862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862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55pt" to="522.75pt,41.15pt" o:allowincell="f" strokecolor="#000000" strokeweight="0.4809pt"/>
            </w:pict>
          </mc:Fallback>
        </mc:AlternateContent>
      </w:r>
    </w:p>
    <w:p>
      <w:pPr>
        <w:spacing w:after="0" w:line="198" w:lineRule="exact"/>
        <w:rPr>
          <w:sz w:val="20"/>
          <w:szCs w:val="20"/>
          <w:color w:val="auto"/>
        </w:rPr>
      </w:pPr>
    </w:p>
    <w:p>
      <w:pPr>
        <w:ind w:right="60" w:firstLine="558"/>
        <w:spacing w:after="0" w:line="278" w:lineRule="auto"/>
        <w:tabs>
          <w:tab w:leader="none" w:pos="1118" w:val="left"/>
        </w:tabs>
        <w:numPr>
          <w:ilvl w:val="0"/>
          <w:numId w:val="2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ПЛАНИРАНЕ НА МЕРКИ ЗА НЕДОПУСКАНЕ НА АВАРИИ И ПРЕДОТВРАТЯВАНЕ НА РИСКОВЕТЕ</w:t>
      </w:r>
    </w:p>
    <w:p>
      <w:pPr>
        <w:spacing w:after="0" w:line="61" w:lineRule="exact"/>
        <w:rPr>
          <w:sz w:val="20"/>
          <w:szCs w:val="20"/>
          <w:color w:val="auto"/>
        </w:rPr>
      </w:pPr>
    </w:p>
    <w:p>
      <w:pPr>
        <w:jc w:val="both"/>
        <w:ind w:right="60" w:firstLine="566"/>
        <w:spacing w:after="0"/>
        <w:rPr>
          <w:sz w:val="20"/>
          <w:szCs w:val="20"/>
          <w:color w:val="auto"/>
        </w:rPr>
      </w:pPr>
      <w:r>
        <w:rPr>
          <w:rFonts w:ascii="Times New Roman" w:cs="Times New Roman" w:eastAsia="Times New Roman" w:hAnsi="Times New Roman"/>
          <w:sz w:val="24"/>
          <w:szCs w:val="24"/>
          <w:color w:val="auto"/>
        </w:rPr>
        <w:t>За вероятното възникване на аварии и инциденти и тяхното предотвратяване, Инвеститорът ще разработи „План за предотвратяване и ликвидиране на аварии в кариера за добив на глаукон итови пясъчници „Глория””, който ще бъде приложен към Цялостния работен проект за експлоатация на находището и който ще бъде съгласуван с компетентните органи.</w:t>
      </w:r>
    </w:p>
    <w:p>
      <w:pPr>
        <w:jc w:val="both"/>
        <w:ind w:right="60" w:firstLine="566"/>
        <w:spacing w:after="0" w:line="245" w:lineRule="auto"/>
        <w:rPr>
          <w:sz w:val="20"/>
          <w:szCs w:val="20"/>
          <w:color w:val="auto"/>
        </w:rPr>
      </w:pPr>
      <w:r>
        <w:rPr>
          <w:rFonts w:ascii="Times New Roman" w:cs="Times New Roman" w:eastAsia="Times New Roman" w:hAnsi="Times New Roman"/>
          <w:sz w:val="24"/>
          <w:szCs w:val="24"/>
          <w:color w:val="auto"/>
        </w:rPr>
        <w:t>Планът ще определя превантивните мероприятия на начинът на действие на персонала при възникване на бедствия и аварии на обекта по време на експлоатация, чрез предварително осигуряване на:</w:t>
      </w:r>
    </w:p>
    <w:p>
      <w:pPr>
        <w:ind w:left="920"/>
        <w:spacing w:after="0"/>
        <w:tabs>
          <w:tab w:leader="none" w:pos="1260" w:val="left"/>
          <w:tab w:leader="none" w:pos="3020" w:val="left"/>
          <w:tab w:leader="none" w:pos="4400" w:val="left"/>
          <w:tab w:leader="none" w:pos="5460" w:val="left"/>
          <w:tab w:leader="none" w:pos="5840" w:val="left"/>
          <w:tab w:leader="none" w:pos="6980" w:val="left"/>
          <w:tab w:leader="none" w:pos="7440" w:val="left"/>
          <w:tab w:leader="none" w:pos="8760" w:val="left"/>
          <w:tab w:leader="none" w:pos="10080" w:val="left"/>
        </w:tabs>
        <w:rPr>
          <w:sz w:val="20"/>
          <w:szCs w:val="20"/>
          <w:color w:val="auto"/>
        </w:rPr>
      </w:pPr>
      <w:r>
        <w:rPr>
          <w:rFonts w:ascii="Symbol" w:cs="Symbol" w:eastAsia="Symbol" w:hAnsi="Symbol"/>
          <w:sz w:val="24"/>
          <w:szCs w:val="24"/>
          <w:color w:val="auto"/>
        </w:rPr>
        <w:t>•</w:t>
      </w:r>
      <w:r>
        <w:rPr>
          <w:sz w:val="20"/>
          <w:szCs w:val="20"/>
          <w:color w:val="auto"/>
        </w:rPr>
        <w:tab/>
      </w:r>
      <w:r>
        <w:rPr>
          <w:rFonts w:ascii="Times New Roman" w:cs="Times New Roman" w:eastAsia="Times New Roman" w:hAnsi="Times New Roman"/>
          <w:sz w:val="24"/>
          <w:szCs w:val="24"/>
          <w:color w:val="auto"/>
        </w:rPr>
        <w:t>Необходимите</w:t>
        <w:tab/>
        <w:t>материали,</w:t>
        <w:tab/>
        <w:t>техника</w:t>
        <w:tab/>
        <w:t>и</w:t>
        <w:tab/>
        <w:t>средства</w:t>
        <w:tab/>
        <w:t>за</w:t>
        <w:tab/>
        <w:t>ефективна</w:t>
        <w:tab/>
        <w:t>дейност</w:t>
      </w:r>
      <w:r>
        <w:rPr>
          <w:sz w:val="20"/>
          <w:szCs w:val="20"/>
          <w:color w:val="auto"/>
        </w:rPr>
        <w:tab/>
      </w:r>
      <w:r>
        <w:rPr>
          <w:rFonts w:ascii="Times New Roman" w:cs="Times New Roman" w:eastAsia="Times New Roman" w:hAnsi="Times New Roman"/>
          <w:sz w:val="23"/>
          <w:szCs w:val="23"/>
          <w:color w:val="auto"/>
        </w:rPr>
        <w:t>по</w:t>
      </w:r>
    </w:p>
    <w:p>
      <w:pPr>
        <w:ind w:left="1280"/>
        <w:spacing w:after="0"/>
        <w:rPr>
          <w:sz w:val="20"/>
          <w:szCs w:val="20"/>
          <w:color w:val="auto"/>
        </w:rPr>
      </w:pPr>
      <w:r>
        <w:rPr>
          <w:rFonts w:ascii="Times New Roman" w:cs="Times New Roman" w:eastAsia="Times New Roman" w:hAnsi="Times New Roman"/>
          <w:sz w:val="24"/>
          <w:szCs w:val="24"/>
          <w:color w:val="auto"/>
        </w:rPr>
        <w:t>предотвратяване на последствията;</w:t>
      </w:r>
    </w:p>
    <w:p>
      <w:pPr>
        <w:spacing w:after="0" w:line="18" w:lineRule="exact"/>
        <w:rPr>
          <w:sz w:val="20"/>
          <w:szCs w:val="20"/>
          <w:color w:val="auto"/>
        </w:rPr>
      </w:pPr>
    </w:p>
    <w:p>
      <w:pPr>
        <w:ind w:left="1280" w:hanging="362"/>
        <w:spacing w:after="0"/>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Подготовка на личният състав на обекта за действие;</w:t>
      </w:r>
    </w:p>
    <w:p>
      <w:pPr>
        <w:ind w:left="1280" w:hanging="362"/>
        <w:spacing w:after="0" w:line="239" w:lineRule="auto"/>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Управленията на действието на персонала;</w:t>
      </w:r>
    </w:p>
    <w:p>
      <w:pPr>
        <w:ind w:left="1280" w:hanging="362"/>
        <w:spacing w:after="0" w:line="225" w:lineRule="auto"/>
        <w:tabs>
          <w:tab w:leader="none" w:pos="1280" w:val="left"/>
        </w:tabs>
        <w:numPr>
          <w:ilvl w:val="0"/>
          <w:numId w:val="29"/>
        </w:numPr>
        <w:rPr>
          <w:rFonts w:ascii="Symbol" w:cs="Symbol" w:eastAsia="Symbol" w:hAnsi="Symbol"/>
          <w:sz w:val="24"/>
          <w:szCs w:val="24"/>
          <w:color w:val="auto"/>
        </w:rPr>
      </w:pPr>
      <w:r>
        <w:rPr>
          <w:rFonts w:ascii="Times New Roman" w:cs="Times New Roman" w:eastAsia="Times New Roman" w:hAnsi="Times New Roman"/>
          <w:sz w:val="24"/>
          <w:szCs w:val="24"/>
          <w:color w:val="auto"/>
        </w:rPr>
        <w:t>Реда за въвеждане на плана в действие и информиране на застрашеното население.</w:t>
      </w:r>
    </w:p>
    <w:p>
      <w:pPr>
        <w:ind w:left="560"/>
        <w:spacing w:after="0"/>
        <w:rPr>
          <w:rFonts w:ascii="Symbol" w:cs="Symbol" w:eastAsia="Symbol" w:hAnsi="Symbol"/>
          <w:sz w:val="24"/>
          <w:szCs w:val="24"/>
          <w:color w:val="auto"/>
        </w:rPr>
      </w:pPr>
      <w:r>
        <w:rPr>
          <w:rFonts w:ascii="Times New Roman" w:cs="Times New Roman" w:eastAsia="Times New Roman" w:hAnsi="Times New Roman"/>
          <w:sz w:val="24"/>
          <w:szCs w:val="24"/>
          <w:b w:val="1"/>
          <w:bCs w:val="1"/>
          <w:color w:val="auto"/>
        </w:rPr>
        <w:t>Авариен план</w:t>
      </w:r>
    </w:p>
    <w:p>
      <w:pPr>
        <w:ind w:left="560"/>
        <w:spacing w:after="0"/>
        <w:rPr>
          <w:rFonts w:ascii="Symbol" w:cs="Symbol" w:eastAsia="Symbol" w:hAnsi="Symbol"/>
          <w:sz w:val="24"/>
          <w:szCs w:val="24"/>
          <w:color w:val="auto"/>
        </w:rPr>
      </w:pPr>
      <w:r>
        <w:rPr>
          <w:rFonts w:ascii="Times New Roman" w:cs="Times New Roman" w:eastAsia="Times New Roman" w:hAnsi="Times New Roman"/>
          <w:sz w:val="24"/>
          <w:szCs w:val="24"/>
          <w:color w:val="auto"/>
        </w:rPr>
        <w:t>Планът за предотвратяване и ликвидиране на аварии ще бъде изготвен в съответствие с</w:t>
      </w:r>
    </w:p>
    <w:p>
      <w:pPr>
        <w:jc w:val="both"/>
        <w:ind w:right="60"/>
        <w:spacing w:after="0"/>
        <w:rPr>
          <w:sz w:val="20"/>
          <w:szCs w:val="20"/>
          <w:color w:val="auto"/>
        </w:rPr>
      </w:pPr>
      <w:r>
        <w:rPr>
          <w:rFonts w:ascii="Times New Roman" w:cs="Times New Roman" w:eastAsia="Times New Roman" w:hAnsi="Times New Roman"/>
          <w:sz w:val="24"/>
          <w:szCs w:val="24"/>
          <w:color w:val="auto"/>
        </w:rPr>
        <w:t>Инструкцията за съставяне на план на Правилника за безопасността на труда на находища по открит начин от 1996 г, и съобразен с конкретната обстановка в открито находище „Глория”. Мерките предвидени в него ще са задължителни за всички ИТР и работници в предприятието. В случай на възникнали аварии, те ще са длъжни да изпълняват задълженията си, съгласно плана за ликвидиране на аварията. С плана за ликвидиране на аварии ще бъдат запознати всички ИТР и работници, като на всеки един се обръща внимание върху неговите конкретни задължения при възникване на авария. Запознаването с плана се удостоверява с подпис.</w:t>
      </w:r>
    </w:p>
    <w:p>
      <w:pPr>
        <w:ind w:left="560"/>
        <w:spacing w:after="0"/>
        <w:rPr>
          <w:sz w:val="20"/>
          <w:szCs w:val="20"/>
          <w:color w:val="auto"/>
        </w:rPr>
      </w:pPr>
      <w:r>
        <w:rPr>
          <w:rFonts w:ascii="Times New Roman" w:cs="Times New Roman" w:eastAsia="Times New Roman" w:hAnsi="Times New Roman"/>
          <w:sz w:val="24"/>
          <w:szCs w:val="24"/>
          <w:color w:val="auto"/>
        </w:rPr>
        <w:t>Планът за предотвратяване и ликвидиране на аварии съдържа:</w:t>
      </w:r>
    </w:p>
    <w:p>
      <w:pPr>
        <w:spacing w:after="0" w:line="19" w:lineRule="exact"/>
        <w:rPr>
          <w:sz w:val="20"/>
          <w:szCs w:val="20"/>
          <w:color w:val="auto"/>
        </w:rPr>
      </w:pPr>
    </w:p>
    <w:p>
      <w:pPr>
        <w:ind w:left="1280" w:right="60" w:hanging="362"/>
        <w:spacing w:after="0" w:line="239"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потенциалните опасности и мерките взети за тяхното ликвидиране, както и отговорниците за тяхното изпълнение;</w:t>
      </w:r>
    </w:p>
    <w:p>
      <w:pPr>
        <w:spacing w:after="0" w:line="1" w:lineRule="exact"/>
        <w:rPr>
          <w:rFonts w:ascii="Symbol" w:cs="Symbol" w:eastAsia="Symbol" w:hAnsi="Symbol"/>
          <w:sz w:val="24"/>
          <w:szCs w:val="24"/>
          <w:color w:val="auto"/>
        </w:rPr>
      </w:pPr>
    </w:p>
    <w:p>
      <w:pPr>
        <w:ind w:left="1280" w:hanging="362"/>
        <w:spacing w:after="0" w:line="239"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профилактични мерки за предотвратяване на аварии;</w:t>
      </w:r>
    </w:p>
    <w:p>
      <w:pPr>
        <w:ind w:left="1280" w:right="60" w:hanging="362"/>
        <w:spacing w:after="0" w:line="255" w:lineRule="auto"/>
        <w:tabs>
          <w:tab w:leader="none" w:pos="1280" w:val="left"/>
        </w:tabs>
        <w:numPr>
          <w:ilvl w:val="0"/>
          <w:numId w:val="30"/>
        </w:numPr>
        <w:rPr>
          <w:rFonts w:ascii="Symbol" w:cs="Symbol" w:eastAsia="Symbol" w:hAnsi="Symbol"/>
          <w:sz w:val="24"/>
          <w:szCs w:val="24"/>
          <w:color w:val="auto"/>
        </w:rPr>
      </w:pPr>
      <w:r>
        <w:rPr>
          <w:rFonts w:ascii="Times New Roman" w:cs="Times New Roman" w:eastAsia="Times New Roman" w:hAnsi="Times New Roman"/>
          <w:sz w:val="24"/>
          <w:szCs w:val="24"/>
          <w:color w:val="auto"/>
        </w:rPr>
        <w:t>разпределение на задълженията на лицата, участващи в ликвидирането на аварията и т.н.</w:t>
      </w:r>
    </w:p>
    <w:p>
      <w:pPr>
        <w:spacing w:after="0" w:line="200" w:lineRule="exact"/>
        <w:rPr>
          <w:sz w:val="20"/>
          <w:szCs w:val="20"/>
          <w:color w:val="auto"/>
        </w:rPr>
      </w:pPr>
    </w:p>
    <w:p>
      <w:pPr>
        <w:spacing w:after="0" w:line="38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130175</wp:posOffset>
                </wp:positionV>
                <wp:extent cx="672211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25pt" to="523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337820</wp:posOffset>
                </wp:positionV>
                <wp:extent cx="672211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6.6pt" to="523pt,26.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127000</wp:posOffset>
                </wp:positionV>
                <wp:extent cx="0" cy="21336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pt" to="-6.0499pt,26.8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127000</wp:posOffset>
                </wp:positionV>
                <wp:extent cx="0" cy="21336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336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pt" to="522.75pt,26.8pt" o:allowincell="f" strokecolor="#000000" strokeweight="0.4809pt"/>
            </w:pict>
          </mc:Fallback>
        </mc:AlternateContent>
      </w:r>
    </w:p>
    <w:p>
      <w:pPr>
        <w:spacing w:after="0" w:line="187" w:lineRule="exact"/>
        <w:rPr>
          <w:sz w:val="20"/>
          <w:szCs w:val="20"/>
          <w:color w:val="auto"/>
        </w:rPr>
      </w:pPr>
    </w:p>
    <w:p>
      <w:pPr>
        <w:ind w:left="800" w:hanging="242"/>
        <w:spacing w:after="0"/>
        <w:tabs>
          <w:tab w:leader="none" w:pos="800" w:val="left"/>
        </w:tabs>
        <w:numPr>
          <w:ilvl w:val="0"/>
          <w:numId w:val="3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КОНТРОЛНИ И МОНИТОРИНГОВИ ПРОЦЕДУРИ</w:t>
      </w:r>
    </w:p>
    <w:p>
      <w:pPr>
        <w:spacing w:after="0" w:line="149" w:lineRule="exact"/>
        <w:rPr>
          <w:sz w:val="20"/>
          <w:szCs w:val="20"/>
          <w:color w:val="auto"/>
        </w:rPr>
      </w:pPr>
    </w:p>
    <w:p>
      <w:pPr>
        <w:ind w:right="60" w:firstLine="566"/>
        <w:spacing w:after="0" w:line="248" w:lineRule="auto"/>
        <w:rPr>
          <w:sz w:val="20"/>
          <w:szCs w:val="20"/>
          <w:color w:val="auto"/>
        </w:rPr>
      </w:pPr>
      <w:r>
        <w:rPr>
          <w:rFonts w:ascii="Times New Roman" w:cs="Times New Roman" w:eastAsia="Times New Roman" w:hAnsi="Times New Roman"/>
          <w:sz w:val="24"/>
          <w:szCs w:val="24"/>
          <w:color w:val="auto"/>
        </w:rPr>
        <w:t>Предлагат се следните процедури за контрол и мониторинг при осъществяване на дейността по концесията и на генерираните от нея минни отпадъци:</w:t>
      </w:r>
    </w:p>
    <w:p>
      <w:pPr>
        <w:spacing w:after="0" w:line="1" w:lineRule="exact"/>
        <w:rPr>
          <w:sz w:val="20"/>
          <w:szCs w:val="20"/>
          <w:color w:val="auto"/>
        </w:rPr>
      </w:pPr>
    </w:p>
    <w:p>
      <w:pPr>
        <w:ind w:left="1280" w:right="60" w:hanging="362"/>
        <w:spacing w:after="0" w:line="239" w:lineRule="auto"/>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упражнява вътрешен контрол по спазването на заложените в Цялостния работен проект параметри на откривни, добивни и насипищни работи.</w:t>
      </w:r>
    </w:p>
    <w:p>
      <w:pPr>
        <w:spacing w:after="0" w:line="1" w:lineRule="exact"/>
        <w:rPr>
          <w:rFonts w:ascii="Symbol" w:cs="Symbol" w:eastAsia="Symbol" w:hAnsi="Symbol"/>
          <w:sz w:val="24"/>
          <w:szCs w:val="24"/>
          <w:color w:val="auto"/>
        </w:rPr>
      </w:pPr>
    </w:p>
    <w:p>
      <w:pPr>
        <w:ind w:left="1280" w:right="60" w:hanging="362"/>
        <w:spacing w:after="0"/>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извършва редовен маркшайдерски контрол за спазване на проектните решения, които ще бъдат заложени в Цялостния работен проект за експлоатация на находището.</w:t>
      </w:r>
    </w:p>
    <w:p>
      <w:pPr>
        <w:spacing w:after="0" w:line="1" w:lineRule="exact"/>
        <w:rPr>
          <w:rFonts w:ascii="Symbol" w:cs="Symbol" w:eastAsia="Symbol" w:hAnsi="Symbol"/>
          <w:sz w:val="24"/>
          <w:szCs w:val="24"/>
          <w:color w:val="auto"/>
        </w:rPr>
      </w:pPr>
    </w:p>
    <w:p>
      <w:pPr>
        <w:jc w:val="both"/>
        <w:ind w:left="1280" w:right="60" w:hanging="362"/>
        <w:spacing w:after="0" w:line="247" w:lineRule="auto"/>
        <w:tabs>
          <w:tab w:leader="none" w:pos="1280" w:val="left"/>
        </w:tabs>
        <w:numPr>
          <w:ilvl w:val="1"/>
          <w:numId w:val="32"/>
        </w:numPr>
        <w:rPr>
          <w:rFonts w:ascii="Symbol" w:cs="Symbol" w:eastAsia="Symbol" w:hAnsi="Symbol"/>
          <w:sz w:val="24"/>
          <w:szCs w:val="24"/>
          <w:color w:val="auto"/>
        </w:rPr>
      </w:pPr>
      <w:r>
        <w:rPr>
          <w:rFonts w:ascii="Times New Roman" w:cs="Times New Roman" w:eastAsia="Times New Roman" w:hAnsi="Times New Roman"/>
          <w:sz w:val="24"/>
          <w:szCs w:val="24"/>
          <w:color w:val="auto"/>
        </w:rPr>
        <w:t>Да се извършват редовни наблюдения и контрол върху състоянието на насипищата, за да се предотврати своевременно възникването на опасност за отделните компоненти на околната среда и здравето на хората, работещи в кариерата.</w:t>
      </w:r>
    </w:p>
    <w:p>
      <w:pPr>
        <w:spacing w:after="0" w:line="226" w:lineRule="exact"/>
        <w:rPr>
          <w:rFonts w:ascii="Symbol" w:cs="Symbol" w:eastAsia="Symbol" w:hAnsi="Symbol"/>
          <w:sz w:val="24"/>
          <w:szCs w:val="24"/>
          <w:color w:val="auto"/>
        </w:rPr>
      </w:pPr>
    </w:p>
    <w:p>
      <w:pPr>
        <w:ind w:left="800" w:hanging="242"/>
        <w:spacing w:after="0"/>
        <w:tabs>
          <w:tab w:leader="none" w:pos="800" w:val="left"/>
        </w:tabs>
        <w:numPr>
          <w:ilvl w:val="0"/>
          <w:numId w:val="3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ЗАКРИВАНЕ И РЕКУЛТИВАЦИЯ НА СЪОРЪЖЕНИЕТО ЗА МИННИ ОТПАДЪЦИ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-80010</wp:posOffset>
                </wp:positionH>
                <wp:positionV relativeFrom="paragraph">
                  <wp:posOffset>-175260</wp:posOffset>
                </wp:positionV>
                <wp:extent cx="672211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3.7999pt" to="523pt,-13.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31115</wp:posOffset>
                </wp:positionV>
                <wp:extent cx="672211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2.45pt" to="523pt,2.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-178435</wp:posOffset>
                </wp:positionV>
                <wp:extent cx="0" cy="21272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4.0499pt" to="-6.0499pt,2.7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-178435</wp:posOffset>
                </wp:positionV>
                <wp:extent cx="0" cy="212725"/>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2725"/>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4.0499pt" to="522.75pt,2.7pt" o:allowincell="f" strokecolor="#000000" strokeweight="0.4809pt"/>
            </w:pict>
          </mc:Fallback>
        </mc:AlternateContent>
      </w:r>
    </w:p>
    <w:p>
      <w:pPr>
        <w:spacing w:after="0" w:line="129" w:lineRule="exact"/>
        <w:rPr>
          <w:sz w:val="20"/>
          <w:szCs w:val="20"/>
          <w:color w:val="auto"/>
        </w:rPr>
      </w:pPr>
    </w:p>
    <w:p>
      <w:pPr>
        <w:ind w:right="60" w:firstLine="566"/>
        <w:spacing w:after="0"/>
        <w:rPr>
          <w:sz w:val="20"/>
          <w:szCs w:val="20"/>
          <w:color w:val="auto"/>
        </w:rPr>
      </w:pPr>
      <w:r>
        <w:rPr>
          <w:rFonts w:ascii="Times New Roman" w:cs="Times New Roman" w:eastAsia="Times New Roman" w:hAnsi="Times New Roman"/>
          <w:sz w:val="24"/>
          <w:szCs w:val="24"/>
          <w:color w:val="auto"/>
        </w:rPr>
        <w:t>Основните задачи, които се поставят и решават с разработването на проекта за рекултивация, съгласно Наредба № 26, са:</w:t>
      </w:r>
    </w:p>
    <w:p>
      <w:pPr>
        <w:ind w:right="60" w:firstLine="558"/>
        <w:spacing w:after="0"/>
        <w:tabs>
          <w:tab w:leader="none" w:pos="71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Отнемане, съхраняване и оползотворяване на наличния хумусен пласт и геоложки материали от разкривката, годни за нуждите на рекултивацията;</w:t>
      </w:r>
    </w:p>
    <w:p>
      <w:pPr>
        <w:ind w:left="700" w:hanging="142"/>
        <w:spacing w:after="0"/>
        <w:tabs>
          <w:tab w:leader="none" w:pos="70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Избор на подходящ начин и етапност за рекултивация на нарушения терен;</w:t>
      </w:r>
    </w:p>
    <w:p>
      <w:pPr>
        <w:ind w:right="60" w:firstLine="558"/>
        <w:spacing w:after="0"/>
        <w:tabs>
          <w:tab w:leader="none" w:pos="718"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Възстановяване или подобряване на нарушения терен и земи във вид, незагрозяващ околния ландшафт и позволяващ подходящо приобщаване на рекултивираната площ към околната среда.</w:t>
      </w:r>
    </w:p>
    <w:p>
      <w:pPr>
        <w:jc w:val="both"/>
        <w:ind w:right="60" w:firstLine="558"/>
        <w:spacing w:after="0"/>
        <w:tabs>
          <w:tab w:leader="none" w:pos="742"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Ще бъде разработен проект за поетапна рекултивация на нарушените от кариерния добив терени, който ще бъде съобразен с разработения в цялостния проект календарен график за усвояване на запасите от находището.</w:t>
      </w:r>
    </w:p>
    <w:p>
      <w:pPr>
        <w:ind w:right="60" w:firstLine="566"/>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Рекултивацията включва две основни групи дейности – техническа рекултивация и биологична рекултивация.</w:t>
      </w:r>
    </w:p>
    <w:p>
      <w:pPr>
        <w:ind w:left="5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Техническа рекултивация</w:t>
      </w:r>
    </w:p>
    <w:p>
      <w:pPr>
        <w:jc w:val="both"/>
        <w:ind w:right="60" w:firstLine="566"/>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Съгласно чл. 2, ал. 4 на Наредба № 26 за рекултивация на нарушени терени, подобряване на слабопродуктивни земи, отнемане и оползотворяване на хумусния пласт, рекултивацията се извършва чрез:</w:t>
      </w:r>
    </w:p>
    <w:p>
      <w:pPr>
        <w:spacing w:after="0" w:line="1" w:lineRule="exact"/>
        <w:rPr>
          <w:rFonts w:ascii="Times New Roman" w:cs="Times New Roman" w:eastAsia="Times New Roman" w:hAnsi="Times New Roman"/>
          <w:sz w:val="24"/>
          <w:szCs w:val="24"/>
          <w:color w:val="auto"/>
        </w:rPr>
      </w:pPr>
    </w:p>
    <w:p>
      <w:pPr>
        <w:ind w:right="60" w:firstLine="558"/>
        <w:spacing w:after="0"/>
        <w:tabs>
          <w:tab w:leader="none" w:pos="787"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Изземване и съхраняване на почвата от терените, подлежащи на нарушаване с оглед последващото й оползотворяване, на временни депа;</w:t>
      </w:r>
    </w:p>
    <w:p>
      <w:pPr>
        <w:ind w:right="60" w:firstLine="558"/>
        <w:spacing w:after="0"/>
        <w:tabs>
          <w:tab w:leader="none" w:pos="78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Изземване и депониране на вътрешно насипище на откривка с високо съдържание на глинести прослойки;</w:t>
      </w:r>
    </w:p>
    <w:p>
      <w:pPr>
        <w:ind w:right="60" w:firstLine="558"/>
        <w:spacing w:after="0"/>
        <w:tabs>
          <w:tab w:leader="none" w:pos="751"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Оформяне на площадките и откосите с подходящи наклони за осигуряване на ерозионна устойчивост и управление на повърхностните води;</w:t>
      </w:r>
    </w:p>
    <w:p>
      <w:pPr>
        <w:ind w:left="700" w:hanging="142"/>
        <w:spacing w:after="0"/>
        <w:tabs>
          <w:tab w:leader="none" w:pos="700"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Отваряне на посадни места по бермите на неработните хоризонти.</w:t>
      </w:r>
    </w:p>
    <w:p>
      <w:pPr>
        <w:jc w:val="both"/>
        <w:ind w:right="60" w:firstLine="566"/>
        <w:spacing w:after="0"/>
        <w:rPr>
          <w:sz w:val="20"/>
          <w:szCs w:val="20"/>
          <w:color w:val="auto"/>
        </w:rPr>
      </w:pPr>
      <w:r>
        <w:rPr>
          <w:rFonts w:ascii="Times New Roman" w:cs="Times New Roman" w:eastAsia="Times New Roman" w:hAnsi="Times New Roman"/>
          <w:sz w:val="24"/>
          <w:szCs w:val="24"/>
          <w:color w:val="auto"/>
        </w:rPr>
        <w:t>Биологичната рекултивация, като втори етап от рекултивацията на нарушените терени, включва изпълнението на комплекс от лесотехнически, агрохимически, технологични и мелиоративни мероприятия за създаване на тревни и горски масиви от дървесна растителност през първите 3 години след изпълнението на техническата рекултивация (чл. 4, т. 2б от Наредба № 26/1996).</w:t>
      </w:r>
    </w:p>
    <w:p>
      <w:pPr>
        <w:ind w:right="60" w:firstLine="558"/>
        <w:spacing w:after="0"/>
        <w:tabs>
          <w:tab w:leader="none" w:pos="811"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Основните дейности по биологичната рекултивация на нарушените са съобразени с етапността в изпълнението на техническата рекултивация и предвиждат:</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Анализ на плодородието на съхранените на депо почвени материали;</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Необходимост от прилагане на мелиоранти;</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Анализ на растителността в района на кариерата;</w:t>
      </w:r>
    </w:p>
    <w:p>
      <w:pPr>
        <w:ind w:right="60" w:firstLine="558"/>
        <w:spacing w:after="0"/>
        <w:tabs>
          <w:tab w:leader="none" w:pos="77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Избор на подходяща за условията на кариерата горскодървесна и тревна растителност; залесяване, затревяване;</w:t>
      </w:r>
    </w:p>
    <w:p>
      <w:pPr>
        <w:ind w:left="700" w:hanging="142"/>
        <w:spacing w:after="0"/>
        <w:tabs>
          <w:tab w:leader="none" w:pos="700" w:val="left"/>
        </w:tabs>
        <w:numPr>
          <w:ilvl w:val="0"/>
          <w:numId w:val="3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Изграждане на защитeн пояс около рискови зони на кариерното поле.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both"/>
        <w:ind w:right="60"/>
        <w:spacing w:after="0" w:line="255" w:lineRule="auto"/>
        <w:rPr>
          <w:sz w:val="20"/>
          <w:szCs w:val="20"/>
          <w:color w:val="auto"/>
        </w:rPr>
      </w:pPr>
      <w:r>
        <w:rPr>
          <w:rFonts w:ascii="Times New Roman" w:cs="Times New Roman" w:eastAsia="Times New Roman" w:hAnsi="Times New Roman"/>
          <w:sz w:val="20"/>
          <w:szCs w:val="20"/>
          <w:b w:val="1"/>
          <w:bCs w:val="1"/>
          <w:color w:val="auto"/>
        </w:rPr>
        <w:t xml:space="preserve">ПРЕДЛОЖЕНИЕ ЗА УПРАВЛЕНИЕ НА МИННИТЕ ОТПАДЪЦИ при осъществяване на инвестиционно предложение: „Добив на подземни богатства – индустриални минерали - глауконитови пясъчници от находище </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ГЛОРИЯ</w:t>
      </w:r>
      <w:r>
        <w:rPr>
          <w:rFonts w:ascii="Times New Roman" w:cs="Times New Roman" w:eastAsia="Times New Roman" w:hAnsi="Times New Roman"/>
          <w:sz w:val="20"/>
          <w:szCs w:val="20"/>
          <w:color w:val="auto"/>
        </w:rPr>
        <w:t>”</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разположено в землищата на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Мало Пещене и с.</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Голямо Пещене,</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община Враца,</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област Враца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-12700</wp:posOffset>
                </wp:positionH>
                <wp:positionV relativeFrom="paragraph">
                  <wp:posOffset>15875</wp:posOffset>
                </wp:positionV>
                <wp:extent cx="655320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53200" cy="4763"/>
                        </a:xfrm>
                        <a:prstGeom prst="line">
                          <a:avLst/>
                        </a:prstGeom>
                        <a:solidFill>
                          <a:srgbClr val="FFFFFF"/>
                        </a:solidFill>
                        <a:ln w="9525">
                          <a:solidFill>
                            <a:srgbClr val="969696"/>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pt,1.25pt" to="515pt,1.25pt" o:allowincell="f" strokecolor="#969696" strokeweight="0.75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130175</wp:posOffset>
                </wp:positionV>
                <wp:extent cx="672211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10.25pt" to="523pt,1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-80010</wp:posOffset>
                </wp:positionH>
                <wp:positionV relativeFrom="paragraph">
                  <wp:posOffset>688340</wp:posOffset>
                </wp:positionV>
                <wp:extent cx="672211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722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2999pt,54.2pt" to="523pt,54.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-76835</wp:posOffset>
                </wp:positionH>
                <wp:positionV relativeFrom="paragraph">
                  <wp:posOffset>127000</wp:posOffset>
                </wp:positionV>
                <wp:extent cx="0" cy="56388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388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0499pt,10pt" to="-6.0499pt,54.4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6638925</wp:posOffset>
                </wp:positionH>
                <wp:positionV relativeFrom="paragraph">
                  <wp:posOffset>127000</wp:posOffset>
                </wp:positionV>
                <wp:extent cx="0" cy="56388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6388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2.75pt,10pt" to="522.75pt,54.4pt" o:allowincell="f" strokecolor="#000000" strokeweight="0.4809pt"/>
            </w:pict>
          </mc:Fallback>
        </mc:AlternateContent>
      </w:r>
    </w:p>
    <w:p>
      <w:pPr>
        <w:spacing w:after="0" w:line="187" w:lineRule="exact"/>
        <w:rPr>
          <w:sz w:val="20"/>
          <w:szCs w:val="20"/>
          <w:color w:val="auto"/>
        </w:rPr>
      </w:pPr>
    </w:p>
    <w:p>
      <w:pPr>
        <w:jc w:val="both"/>
        <w:ind w:right="60" w:firstLine="558"/>
        <w:spacing w:after="0" w:line="259" w:lineRule="auto"/>
        <w:tabs>
          <w:tab w:leader="none" w:pos="814" w:val="left"/>
        </w:tabs>
        <w:numPr>
          <w:ilvl w:val="0"/>
          <w:numId w:val="3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ДОКУМЕНТИ, ДОКАЗВАЩИ КВАЛИФИКАЦИЯТА, ТЕХНИЧЕСКИТЕ УМЕНИЯ И СПОСОБНОСТТА НА ОПЕРАТОРА ДА ПОСТИГНЕ ЦЕЛИТЕ НА ПЛАНА ЗА УПРАВЛЕНИЕ НА МИННИТЕ ОТПАДЪЦИ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0"/>
          <w:szCs w:val="20"/>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-60325</wp:posOffset>
            </wp:positionV>
            <wp:extent cx="6438900" cy="285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extLst>
                    </a:blip>
                    <a:srcRect/>
                    <a:stretch>
                      <a:fillRect/>
                    </a:stretch>
                  </pic:blipFill>
                  <pic:spPr bwMode="auto">
                    <a:xfrm>
                      <a:off x="0" y="0"/>
                      <a:ext cx="6438900" cy="28575"/>
                    </a:xfrm>
                    <a:prstGeom prst="rect">
                      <a:avLst/>
                    </a:prstGeom>
                    <a:noFill/>
                  </pic:spPr>
                </pic:pic>
              </a:graphicData>
            </a:graphic>
          </wp:anchor>
        </w:drawing>
      </w:r>
    </w:p>
    <w:p>
      <w:pPr>
        <w:sectPr>
          <w:pgSz w:w="11920" w:h="16850" w:orient="portrait"/>
          <w:cols w:equalWidth="0" w:num="1">
            <w:col w:w="10400"/>
          </w:cols>
          <w:pgMar w:left="1000" w:top="376" w:right="511" w:bottom="0" w:gutter="0" w:footer="0" w:header="0"/>
        </w:sectPr>
      </w:pPr>
    </w:p>
    <w:p>
      <w:pPr>
        <w:spacing w:after="0" w:line="2" w:lineRule="exact"/>
        <w:rPr>
          <w:sz w:val="20"/>
          <w:szCs w:val="20"/>
          <w:color w:val="auto"/>
        </w:rPr>
      </w:pPr>
    </w:p>
    <w:p>
      <w:pPr>
        <w:jc w:val="center"/>
        <w:ind w:right="6760"/>
        <w:spacing w:after="0"/>
        <w:rPr>
          <w:sz w:val="20"/>
          <w:szCs w:val="20"/>
          <w:color w:val="auto"/>
        </w:rPr>
      </w:pPr>
      <w:r>
        <w:rPr>
          <w:rFonts w:ascii="Times New Roman" w:cs="Times New Roman" w:eastAsia="Times New Roman" w:hAnsi="Times New Roman"/>
          <w:sz w:val="15"/>
          <w:szCs w:val="15"/>
          <w:b w:val="1"/>
          <w:bCs w:val="1"/>
          <w:color w:val="999999"/>
        </w:rPr>
        <w:t>Титуляр: „БН-КОНСУЛТ-ИНЖЕНИРИНГ” ООД</w:t>
      </w:r>
    </w:p>
    <w:p>
      <w:pPr>
        <w:spacing w:after="0" w:line="12" w:lineRule="exact"/>
        <w:rPr>
          <w:sz w:val="20"/>
          <w:szCs w:val="20"/>
          <w:color w:val="auto"/>
        </w:rPr>
      </w:pPr>
    </w:p>
    <w:p>
      <w:pPr>
        <w:jc w:val="center"/>
        <w:ind w:right="6880"/>
        <w:spacing w:after="0"/>
        <w:rPr>
          <w:sz w:val="20"/>
          <w:szCs w:val="20"/>
          <w:color w:val="auto"/>
        </w:rPr>
      </w:pPr>
      <w:r>
        <w:rPr>
          <w:rFonts w:ascii="Times New Roman" w:cs="Times New Roman" w:eastAsia="Times New Roman" w:hAnsi="Times New Roman"/>
          <w:sz w:val="16"/>
          <w:szCs w:val="16"/>
          <w:b w:val="1"/>
          <w:bCs w:val="1"/>
          <w:color w:val="999999"/>
        </w:rPr>
        <w:t>гр. София</w:t>
      </w:r>
    </w:p>
    <w:p>
      <w:pPr>
        <w:sectPr>
          <w:pgSz w:w="11920" w:h="16850" w:orient="portrait"/>
          <w:cols w:equalWidth="0" w:num="1">
            <w:col w:w="10400"/>
          </w:cols>
          <w:pgMar w:left="1000" w:top="376" w:right="511" w:bottom="0" w:gutter="0" w:footer="0" w:header="0"/>
          <w:type w:val="continuous"/>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6895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689590"/>
                    </a:xfrm>
                    <a:prstGeom prst="rect">
                      <a:avLst/>
                    </a:prstGeom>
                    <a:noFill/>
                  </pic:spPr>
                </pic:pic>
              </a:graphicData>
            </a:graphic>
          </wp:anchor>
        </w:drawing>
      </w:r>
    </w:p>
    <w:p>
      <w:pPr>
        <w:sectPr>
          <w:pgSz w:w="12240" w:h="16834" w:orient="portrait"/>
          <w:cols w:equalWidth="1" w:num="1" w:space="0"/>
          <w:pgMar w:left="1440" w:top="1440" w:right="1440" w:bottom="875" w:gutter="0" w:footer="0" w:header="0"/>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89590" cy="75590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10689590" cy="7559040"/>
                    </a:xfrm>
                    <a:prstGeom prst="rect">
                      <a:avLst/>
                    </a:prstGeom>
                    <a:noFill/>
                  </pic:spPr>
                </pic:pic>
              </a:graphicData>
            </a:graphic>
          </wp:anchor>
        </w:drawing>
      </w:r>
    </w:p>
    <w:p>
      <w:pPr>
        <w:sectPr>
          <w:pgSz w:w="16840" w:h="11904" w:orient="landscape"/>
          <w:cols w:equalWidth="1" w:num="1" w:space="0"/>
          <w:pgMar w:left="1440" w:top="1440" w:right="1440" w:bottom="875" w:gutter="0" w:footer="0" w:header="0"/>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10692130" cy="75590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10692130" cy="7559040"/>
                    </a:xfrm>
                    <a:prstGeom prst="rect">
                      <a:avLst/>
                    </a:prstGeom>
                    <a:noFill/>
                  </pic:spPr>
                </pic:pic>
              </a:graphicData>
            </a:graphic>
          </wp:anchor>
        </w:drawing>
      </w:r>
    </w:p>
    <w:sectPr>
      <w:pgSz w:w="16840" w:h="11904" w:orient="landscape"/>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4DC8"/>
    <w:multiLevelType w:val="hybridMultilevel"/>
    <w:lvl w:ilvl="0">
      <w:lvlJc w:val="left"/>
      <w:lvlText w:val="%1."/>
      <w:numFmt w:val="decimal"/>
      <w:start w:val="5"/>
    </w:lvl>
  </w:abstractNum>
  <w:abstractNum w:abstractNumId="1">
    <w:nsid w:val="6443"/>
    <w:multiLevelType w:val="hybridMultilevel"/>
    <w:lvl w:ilvl="0">
      <w:lvlJc w:val="left"/>
      <w:lvlText w:val="%1."/>
      <w:numFmt w:val="decimal"/>
      <w:start w:val="9"/>
    </w:lvl>
  </w:abstractNum>
  <w:abstractNum w:abstractNumId="2">
    <w:nsid w:val="66BB"/>
    <w:multiLevelType w:val="hybridMultilevel"/>
    <w:lvl w:ilvl="0">
      <w:lvlJc w:val="left"/>
      <w:lvlText w:val="и"/>
      <w:numFmt w:val="bullet"/>
      <w:start w:val="1"/>
    </w:lvl>
    <w:lvl w:ilvl="1">
      <w:lvlJc w:val="left"/>
      <w:lvlText w:val="В"/>
      <w:numFmt w:val="bullet"/>
      <w:start w:val="1"/>
    </w:lvl>
  </w:abstractNum>
  <w:abstractNum w:abstractNumId="3">
    <w:nsid w:val="428B"/>
    <w:multiLevelType w:val="hybridMultilevel"/>
    <w:lvl w:ilvl="0">
      <w:lvlJc w:val="left"/>
      <w:lvlText w:val="%1."/>
      <w:numFmt w:val="decimal"/>
      <w:start w:val="1"/>
    </w:lvl>
  </w:abstractNum>
  <w:abstractNum w:abstractNumId="4">
    <w:nsid w:val="26A6"/>
    <w:multiLevelType w:val="hybridMultilevel"/>
    <w:lvl w:ilvl="0">
      <w:lvlJc w:val="left"/>
      <w:lvlText w:val="и"/>
      <w:numFmt w:val="bullet"/>
      <w:start w:val="1"/>
    </w:lvl>
    <w:lvl w:ilvl="1">
      <w:lvlJc w:val="left"/>
      <w:lvlText w:val="В"/>
      <w:numFmt w:val="bullet"/>
      <w:start w:val="1"/>
    </w:lvl>
  </w:abstractNum>
  <w:abstractNum w:abstractNumId="5">
    <w:nsid w:val="701F"/>
    <w:multiLevelType w:val="hybridMultilevel"/>
    <w:lvl w:ilvl="0">
      <w:lvlJc w:val="left"/>
      <w:lvlText w:val="%1."/>
      <w:numFmt w:val="decimal"/>
      <w:start w:val="2"/>
    </w:lvl>
  </w:abstractNum>
  <w:abstractNum w:abstractNumId="6">
    <w:nsid w:val="5D03"/>
    <w:multiLevelType w:val="hybridMultilevel"/>
    <w:lvl w:ilvl="0">
      <w:lvlJc w:val="left"/>
      <w:lvlText w:val="С"/>
      <w:numFmt w:val="bullet"/>
      <w:start w:val="1"/>
    </w:lvl>
  </w:abstractNum>
  <w:abstractNum w:abstractNumId="7">
    <w:nsid w:val="7A5A"/>
    <w:multiLevelType w:val="hybridMultilevel"/>
    <w:lvl w:ilvl="0">
      <w:lvlJc w:val="left"/>
      <w:lvlText w:val="%1."/>
      <w:numFmt w:val="decimal"/>
      <w:start w:val="3"/>
    </w:lvl>
  </w:abstractNum>
  <w:abstractNum w:abstractNumId="8">
    <w:nsid w:val="767D"/>
    <w:multiLevelType w:val="hybridMultilevel"/>
    <w:lvl w:ilvl="0">
      <w:lvlJc w:val="left"/>
      <w:lvlText w:val="и"/>
      <w:numFmt w:val="bullet"/>
      <w:start w:val="1"/>
    </w:lvl>
    <w:lvl w:ilvl="1">
      <w:lvlJc w:val="left"/>
      <w:lvlText w:val="В"/>
      <w:numFmt w:val="bullet"/>
      <w:start w:val="1"/>
    </w:lvl>
  </w:abstractNum>
  <w:abstractNum w:abstractNumId="9">
    <w:nsid w:val="4509"/>
    <w:multiLevelType w:val="hybridMultilevel"/>
    <w:lvl w:ilvl="0">
      <w:lvlJc w:val="left"/>
      <w:lvlText w:val="•"/>
      <w:numFmt w:val="bullet"/>
      <w:start w:val="1"/>
    </w:lvl>
  </w:abstractNum>
  <w:abstractNum w:abstractNumId="10">
    <w:nsid w:val="1238"/>
    <w:multiLevelType w:val="hybridMultilevel"/>
    <w:lvl w:ilvl="0">
      <w:lvlJc w:val="left"/>
      <w:lvlText w:val="%1."/>
      <w:numFmt w:val="decimal"/>
      <w:start w:val="1"/>
    </w:lvl>
  </w:abstractNum>
  <w:abstractNum w:abstractNumId="11">
    <w:nsid w:val="3B25"/>
    <w:multiLevelType w:val="hybridMultilevel"/>
    <w:lvl w:ilvl="0">
      <w:lvlJc w:val="left"/>
      <w:lvlText w:val="В"/>
      <w:numFmt w:val="bullet"/>
      <w:start w:val="1"/>
    </w:lvl>
  </w:abstractNum>
  <w:abstractNum w:abstractNumId="12">
    <w:nsid w:val="1E1F"/>
    <w:multiLevelType w:val="hybridMultilevel"/>
    <w:lvl w:ilvl="0">
      <w:lvlJc w:val="left"/>
      <w:lvlText w:val="с"/>
      <w:numFmt w:val="bullet"/>
      <w:start w:val="1"/>
    </w:lvl>
  </w:abstractNum>
  <w:abstractNum w:abstractNumId="13">
    <w:nsid w:val="6E5D"/>
    <w:multiLevelType w:val="hybridMultilevel"/>
    <w:lvl w:ilvl="0">
      <w:lvlJc w:val="left"/>
      <w:lvlText w:val="В"/>
      <w:numFmt w:val="bullet"/>
      <w:start w:val="1"/>
    </w:lvl>
  </w:abstractNum>
  <w:abstractNum w:abstractNumId="14">
    <w:nsid w:val="1AD4"/>
    <w:multiLevelType w:val="hybridMultilevel"/>
    <w:lvl w:ilvl="0">
      <w:lvlJc w:val="left"/>
      <w:lvlText w:val="\endash "/>
      <w:numFmt w:val="bullet"/>
      <w:start w:val="1"/>
    </w:lvl>
    <w:lvl w:ilvl="1">
      <w:lvlJc w:val="left"/>
      <w:lvlText w:val="В"/>
      <w:numFmt w:val="bullet"/>
      <w:start w:val="1"/>
    </w:lvl>
  </w:abstractNum>
  <w:abstractNum w:abstractNumId="15">
    <w:nsid w:val="63CB"/>
    <w:multiLevelType w:val="hybridMultilevel"/>
    <w:lvl w:ilvl="0">
      <w:lvlJc w:val="left"/>
      <w:lvlText w:val="и"/>
      <w:numFmt w:val="bullet"/>
      <w:start w:val="1"/>
    </w:lvl>
    <w:lvl w:ilvl="1">
      <w:lvlJc w:val="left"/>
      <w:lvlText w:val="В"/>
      <w:numFmt w:val="bullet"/>
      <w:start w:val="1"/>
    </w:lvl>
  </w:abstractNum>
  <w:abstractNum w:abstractNumId="16">
    <w:nsid w:val="6BFC"/>
    <w:multiLevelType w:val="hybridMultilevel"/>
    <w:lvl w:ilvl="0">
      <w:lvlJc w:val="left"/>
      <w:lvlText w:val="•"/>
      <w:numFmt w:val="bullet"/>
      <w:start w:val="1"/>
    </w:lvl>
  </w:abstractNum>
  <w:abstractNum w:abstractNumId="17">
    <w:nsid w:val="7F96"/>
    <w:multiLevelType w:val="hybridMultilevel"/>
    <w:lvl w:ilvl="0">
      <w:lvlJc w:val="left"/>
      <w:lvlText w:val="%1."/>
      <w:numFmt w:val="decimal"/>
      <w:start w:val="2"/>
    </w:lvl>
  </w:abstractNum>
  <w:abstractNum w:abstractNumId="18">
    <w:nsid w:val="7FF5"/>
    <w:multiLevelType w:val="hybridMultilevel"/>
    <w:lvl w:ilvl="0">
      <w:lvlJc w:val="left"/>
      <w:lvlText w:val="%1."/>
      <w:numFmt w:val="decimal"/>
      <w:start w:val="3"/>
    </w:lvl>
    <w:lvl w:ilvl="1">
      <w:lvlJc w:val="left"/>
      <w:lvlText w:val="•"/>
      <w:numFmt w:val="bullet"/>
      <w:start w:val="1"/>
    </w:lvl>
  </w:abstractNum>
  <w:abstractNum w:abstractNumId="19">
    <w:nsid w:val="4E45"/>
    <w:multiLevelType w:val="hybridMultilevel"/>
    <w:lvl w:ilvl="0">
      <w:lvlJc w:val="left"/>
      <w:lvlText w:val="В"/>
      <w:numFmt w:val="bullet"/>
      <w:start w:val="1"/>
    </w:lvl>
  </w:abstractNum>
  <w:abstractNum w:abstractNumId="20">
    <w:nsid w:val="323B"/>
    <w:multiLevelType w:val="hybridMultilevel"/>
    <w:lvl w:ilvl="0">
      <w:lvlJc w:val="left"/>
      <w:lvlText w:val="а"/>
      <w:numFmt w:val="bullet"/>
      <w:start w:val="1"/>
    </w:lvl>
  </w:abstractNum>
  <w:abstractNum w:abstractNumId="21">
    <w:nsid w:val="2213"/>
    <w:multiLevelType w:val="hybridMultilevel"/>
    <w:lvl w:ilvl="0">
      <w:lvlJc w:val="left"/>
      <w:lvlText w:val="%1."/>
      <w:numFmt w:val="decimal"/>
      <w:start w:val="3"/>
    </w:lvl>
    <w:lvl w:ilvl="1">
      <w:lvlJc w:val="left"/>
      <w:lvlText w:val="•"/>
      <w:numFmt w:val="bullet"/>
      <w:start w:val="1"/>
    </w:lvl>
  </w:abstractNum>
  <w:abstractNum w:abstractNumId="22">
    <w:nsid w:val="260D"/>
    <w:multiLevelType w:val="hybridMultilevel"/>
    <w:lvl w:ilvl="0">
      <w:lvlJc w:val="left"/>
      <w:lvlText w:val="%1."/>
      <w:numFmt w:val="decimal"/>
      <w:start w:val="1"/>
    </w:lvl>
    <w:lvl w:ilvl="1">
      <w:lvlJc w:val="left"/>
      <w:lvlText w:val="•"/>
      <w:numFmt w:val="bullet"/>
      <w:start w:val="1"/>
    </w:lvl>
  </w:abstractNum>
  <w:abstractNum w:abstractNumId="23">
    <w:nsid w:val="6B89"/>
    <w:multiLevelType w:val="hybridMultilevel"/>
    <w:lvl w:ilvl="0">
      <w:lvlJc w:val="left"/>
      <w:lvlText w:val="%1."/>
      <w:numFmt w:val="decimal"/>
      <w:start w:val="5"/>
    </w:lvl>
    <w:lvl w:ilvl="1">
      <w:lvlJc w:val="left"/>
      <w:lvlText w:val="•"/>
      <w:numFmt w:val="bullet"/>
      <w:start w:val="1"/>
    </w:lvl>
  </w:abstractNum>
  <w:abstractNum w:abstractNumId="24">
    <w:nsid w:val="30A"/>
    <w:multiLevelType w:val="hybridMultilevel"/>
    <w:lvl w:ilvl="0">
      <w:lvlJc w:val="left"/>
      <w:lvlText w:val="в"/>
      <w:numFmt w:val="bullet"/>
      <w:start w:val="1"/>
    </w:lvl>
  </w:abstractNum>
  <w:abstractNum w:abstractNumId="25">
    <w:nsid w:val="301C"/>
    <w:multiLevelType w:val="hybridMultilevel"/>
    <w:lvl w:ilvl="0">
      <w:lvlJc w:val="left"/>
      <w:lvlText w:val="•"/>
      <w:numFmt w:val="bullet"/>
      <w:start w:val="1"/>
    </w:lvl>
    <w:lvl w:ilvl="1">
      <w:lvlJc w:val="left"/>
      <w:lvlText w:val="С"/>
      <w:numFmt w:val="bullet"/>
      <w:start w:val="1"/>
    </w:lvl>
  </w:abstractNum>
  <w:abstractNum w:abstractNumId="26">
    <w:nsid w:val="BDB"/>
    <w:multiLevelType w:val="hybridMultilevel"/>
    <w:lvl w:ilvl="0">
      <w:lvlJc w:val="left"/>
      <w:lvlText w:val="•"/>
      <w:numFmt w:val="bullet"/>
      <w:start w:val="1"/>
    </w:lvl>
  </w:abstractNum>
  <w:abstractNum w:abstractNumId="27">
    <w:nsid w:val="56AE"/>
    <w:multiLevelType w:val="hybridMultilevel"/>
    <w:lvl w:ilvl="0">
      <w:lvlJc w:val="left"/>
      <w:lvlText w:val="%1."/>
      <w:numFmt w:val="decimal"/>
      <w:start w:val="6"/>
    </w:lvl>
  </w:abstractNum>
  <w:abstractNum w:abstractNumId="28">
    <w:nsid w:val="732"/>
    <w:multiLevelType w:val="hybridMultilevel"/>
    <w:lvl w:ilvl="0">
      <w:lvlJc w:val="left"/>
      <w:lvlText w:val="•"/>
      <w:numFmt w:val="bullet"/>
      <w:start w:val="1"/>
    </w:lvl>
  </w:abstractNum>
  <w:abstractNum w:abstractNumId="29">
    <w:nsid w:val="120"/>
    <w:multiLevelType w:val="hybridMultilevel"/>
    <w:lvl w:ilvl="0">
      <w:lvlJc w:val="left"/>
      <w:lvlText w:val="•"/>
      <w:numFmt w:val="bullet"/>
      <w:start w:val="1"/>
    </w:lvl>
  </w:abstractNum>
  <w:abstractNum w:abstractNumId="30">
    <w:nsid w:val="759A"/>
    <w:multiLevelType w:val="hybridMultilevel"/>
    <w:lvl w:ilvl="0">
      <w:lvlJc w:val="left"/>
      <w:lvlText w:val="%1."/>
      <w:numFmt w:val="decimal"/>
      <w:start w:val="7"/>
    </w:lvl>
  </w:abstractNum>
  <w:abstractNum w:abstractNumId="31">
    <w:nsid w:val="2350"/>
    <w:multiLevelType w:val="hybridMultilevel"/>
    <w:lvl w:ilvl="0">
      <w:lvlJc w:val="left"/>
      <w:lvlText w:val="%1."/>
      <w:numFmt w:val="decimal"/>
      <w:start w:val="7"/>
    </w:lvl>
    <w:lvl w:ilvl="1">
      <w:lvlJc w:val="left"/>
      <w:lvlText w:val="•"/>
      <w:numFmt w:val="bullet"/>
      <w:start w:val="1"/>
    </w:lvl>
  </w:abstractNum>
  <w:abstractNum w:abstractNumId="32">
    <w:nsid w:val="22EE"/>
    <w:multiLevelType w:val="hybridMultilevel"/>
    <w:lvl w:ilvl="0">
      <w:lvlJc w:val="left"/>
      <w:lvlText w:val="-"/>
      <w:numFmt w:val="bullet"/>
      <w:start w:val="1"/>
    </w:lvl>
  </w:abstractNum>
  <w:abstractNum w:abstractNumId="33">
    <w:nsid w:val="4B40"/>
    <w:multiLevelType w:val="hybridMultilevel"/>
    <w:lvl w:ilvl="0">
      <w:lvlJc w:val="left"/>
      <w:lvlText w:val="-"/>
      <w:numFmt w:val="bullet"/>
      <w:start w:val="1"/>
    </w:lvl>
  </w:abstractNum>
  <w:abstractNum w:abstractNumId="34">
    <w:nsid w:val="5878"/>
    <w:multiLevelType w:val="hybridMultilevel"/>
    <w:lvl w:ilvl="0">
      <w:lvlJc w:val="left"/>
      <w:lvlText w:val="%1."/>
      <w:numFmt w:val="decimal"/>
      <w:start w:val="9"/>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2018-08-21T07:55:15Z</dcterms:created>
  <dcterms:modified xsi:type="dcterms:W3CDTF">2018-08-21T07:55:15Z</dcterms:modified>
</cp:coreProperties>
</file>

<file path=docProps/custom.xml><?xml version="1.0" encoding="utf-8"?>
<Properties xmlns:vt="http://schemas.openxmlformats.org/officeDocument/2006/docPropsVTypes" xmlns="http://schemas.openxmlformats.org/officeDocument/2006/custom-properties"/>
</file>