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Default="004E223A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E223A" w:rsidRPr="004E223A" w:rsidRDefault="004E223A" w:rsidP="004E223A">
      <w:pPr>
        <w:rPr>
          <w:rFonts w:ascii="Times New Roman" w:hAnsi="Times New Roman"/>
          <w:spacing w:val="20"/>
          <w:sz w:val="24"/>
          <w:szCs w:val="24"/>
          <w:lang w:val="bg-BG"/>
        </w:rPr>
      </w:pPr>
    </w:p>
    <w:p w:rsidR="004E223A" w:rsidRPr="004E223A" w:rsidRDefault="004E223A" w:rsidP="004E223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E223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E223A">
        <w:rPr>
          <w:rFonts w:ascii="Times New Roman" w:hAnsi="Times New Roman"/>
          <w:b/>
          <w:sz w:val="24"/>
          <w:szCs w:val="24"/>
        </w:rPr>
        <w:t xml:space="preserve"> 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E223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E22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23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E223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E223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E223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</w:t>
      </w:r>
      <w:proofErr w:type="gramStart"/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от  </w:t>
      </w:r>
      <w:r w:rsidR="003A5918" w:rsidRPr="003A5918">
        <w:rPr>
          <w:rFonts w:ascii="Times New Roman" w:hAnsi="Times New Roman"/>
          <w:color w:val="000000"/>
          <w:sz w:val="24"/>
          <w:szCs w:val="24"/>
          <w:lang w:val="bg-BG"/>
        </w:rPr>
        <w:t>Община</w:t>
      </w:r>
      <w:proofErr w:type="gramEnd"/>
      <w:r w:rsidR="003A5918" w:rsidRPr="003A5918">
        <w:rPr>
          <w:rFonts w:ascii="Times New Roman" w:hAnsi="Times New Roman"/>
          <w:color w:val="000000"/>
          <w:sz w:val="24"/>
          <w:szCs w:val="24"/>
          <w:lang w:val="bg-BG"/>
        </w:rPr>
        <w:t xml:space="preserve"> Оряхово  </w:t>
      </w:r>
      <w:r w:rsidRPr="004E223A">
        <w:rPr>
          <w:rFonts w:ascii="Times New Roman" w:hAnsi="Times New Roman"/>
          <w:sz w:val="24"/>
          <w:szCs w:val="24"/>
          <w:lang w:val="bg-BG"/>
        </w:rPr>
        <w:t>з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екологична оценка (ЕО) по реда на чл. 8а, ал. 1 от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екологична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оценка на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планове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>програми</w:t>
      </w:r>
      <w:proofErr w:type="spellEnd"/>
      <w:r w:rsidRPr="004E223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ЕО),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като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цяло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="003A591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A5918" w:rsidRPr="003A5918">
        <w:rPr>
          <w:rFonts w:ascii="Times New Roman" w:hAnsi="Times New Roman"/>
          <w:color w:val="000000"/>
          <w:sz w:val="24"/>
          <w:szCs w:val="24"/>
          <w:lang w:val="bg-BG"/>
        </w:rPr>
        <w:t>„Частично изменение на Общ устройствен план на община Оряхово (ЧИ на ОУПО) за промяна на устройствената зона в обхвата на поземлени имоти с идентификатори 70723.68.100, 70723.68.15, 70723.68.16. 70723.68.18, 70723.68.21 и 70723.68.113, землище с. Селановци община Оряхово, с нова неземеделска функция „за предимно производствена зона (</w:t>
      </w:r>
      <w:proofErr w:type="spellStart"/>
      <w:r w:rsidR="003A5918" w:rsidRPr="003A5918">
        <w:rPr>
          <w:rFonts w:ascii="Times New Roman" w:hAnsi="Times New Roman"/>
          <w:color w:val="000000"/>
          <w:sz w:val="24"/>
          <w:szCs w:val="24"/>
          <w:lang w:val="bg-BG"/>
        </w:rPr>
        <w:t>Пп</w:t>
      </w:r>
      <w:proofErr w:type="spellEnd"/>
      <w:r w:rsidR="003A5918" w:rsidRPr="003A5918">
        <w:rPr>
          <w:rFonts w:ascii="Times New Roman" w:hAnsi="Times New Roman"/>
          <w:color w:val="000000"/>
          <w:sz w:val="24"/>
          <w:szCs w:val="24"/>
          <w:lang w:val="bg-BG"/>
        </w:rPr>
        <w:t>)“</w:t>
      </w:r>
      <w:r w:rsidR="003A5918">
        <w:rPr>
          <w:rFonts w:ascii="Times New Roman" w:hAnsi="Times New Roman"/>
          <w:color w:val="000000"/>
          <w:sz w:val="24"/>
          <w:szCs w:val="24"/>
          <w:lang w:val="bg-BG"/>
        </w:rPr>
        <w:t xml:space="preserve">,   </w:t>
      </w:r>
      <w:r w:rsidRPr="004E223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E223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E223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чл.13, ал.5 от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ЕО, </w:t>
      </w:r>
      <w:r w:rsidRPr="004E223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E223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E223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E223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E223A" w:rsidRPr="004E223A" w:rsidRDefault="004E223A" w:rsidP="004E22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Осигурен обществен достъп до Искането за преценяване на необходимостта от извършване на еколо</w:t>
      </w:r>
      <w:bookmarkStart w:id="0" w:name="_GoBack"/>
      <w:bookmarkEnd w:id="0"/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>гична оценка (ЕО) за</w:t>
      </w:r>
      <w:r w:rsidRPr="004E22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5918" w:rsidRPr="003A5918">
        <w:rPr>
          <w:rFonts w:ascii="Times New Roman" w:hAnsi="Times New Roman"/>
          <w:sz w:val="24"/>
          <w:szCs w:val="24"/>
          <w:lang w:val="bg-BG"/>
        </w:rPr>
        <w:t>„Частично изменение на Общ устройствен план на община Оряхово (ЧИ на ОУПО) за промяна на устройствената зона в обхвата на поземлени имоти с идентификатори 70723.68.100, 70723.68.15, 70723.68.16. 70723.68.18, 70723.68.21 и 70723.68.113, землище с. Селановци община Оряхово, с нова неземеделска функция „за предимно производствена зона (</w:t>
      </w:r>
      <w:proofErr w:type="spellStart"/>
      <w:r w:rsidR="003A5918" w:rsidRPr="003A5918">
        <w:rPr>
          <w:rFonts w:ascii="Times New Roman" w:hAnsi="Times New Roman"/>
          <w:sz w:val="24"/>
          <w:szCs w:val="24"/>
          <w:lang w:val="bg-BG"/>
        </w:rPr>
        <w:t>Пп</w:t>
      </w:r>
      <w:proofErr w:type="spellEnd"/>
      <w:r w:rsidR="003A5918" w:rsidRPr="003A5918">
        <w:rPr>
          <w:rFonts w:ascii="Times New Roman" w:hAnsi="Times New Roman"/>
          <w:sz w:val="24"/>
          <w:szCs w:val="24"/>
          <w:lang w:val="bg-BG"/>
        </w:rPr>
        <w:t>)“</w:t>
      </w:r>
      <w:r w:rsidR="003A5918">
        <w:rPr>
          <w:rFonts w:ascii="Times New Roman" w:hAnsi="Times New Roman"/>
          <w:sz w:val="24"/>
          <w:szCs w:val="24"/>
          <w:lang w:val="bg-BG"/>
        </w:rPr>
        <w:t>, възложител: Община Оряхово</w:t>
      </w:r>
      <w:r w:rsidRPr="004E223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E223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223A" w:rsidRPr="005C726E" w:rsidRDefault="004E223A" w:rsidP="004E223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Искането </w:t>
      </w:r>
      <w:r w:rsidRPr="004E223A">
        <w:rPr>
          <w:rFonts w:ascii="Times New Roman" w:hAnsi="Times New Roman"/>
          <w:sz w:val="24"/>
          <w:szCs w:val="24"/>
          <w:lang w:val="bg-BG"/>
        </w:rPr>
        <w:t>з</w:t>
      </w:r>
      <w:r w:rsidRPr="004E223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екологична оценка (ЕО) е на разположение на засегнатата общественост в сградата на РИОСВ-Враца, (ул. „Екзарх Йосиф” № 81, гр.Враца,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5C726E"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25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3A5918"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5C72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3A5918"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4E223A" w:rsidRPr="005C726E" w:rsidRDefault="004E223A" w:rsidP="004E223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От РИОСВ-Враца е уведомена засегнатата общественост за постъпилото Искане за преценяване на необходимостта от извършване на екологична оценка (ЕО), (в т.ч. за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изда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ване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на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преценяване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необходимостта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екологична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C726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оценка</w:t>
      </w:r>
      <w:proofErr w:type="spellEnd"/>
      <w:r w:rsidRPr="005C726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)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като за него е извършено оповестяване на интернет страницата на инспекцията, и е осигурен обществен достъп.  </w:t>
      </w:r>
    </w:p>
    <w:p w:rsidR="004E223A" w:rsidRPr="005C726E" w:rsidRDefault="004E223A" w:rsidP="004E223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C726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/</w:t>
      </w:r>
      <w:r w:rsidR="005C726E" w:rsidRPr="005C726E">
        <w:rPr>
          <w:rFonts w:ascii="Times New Roman" w:hAnsi="Times New Roman"/>
          <w:color w:val="000000" w:themeColor="text1"/>
          <w:sz w:val="24"/>
          <w:szCs w:val="24"/>
          <w:lang w:val="ru-RU"/>
        </w:rPr>
        <w:t>25</w:t>
      </w:r>
      <w:r w:rsidRPr="005C72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3A5918" w:rsidRPr="005C726E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5C72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3A5918" w:rsidRPr="005C726E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5C726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E223A" w:rsidRPr="004E223A" w:rsidRDefault="004E223A" w:rsidP="004E223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223A" w:rsidRPr="004E223A" w:rsidRDefault="004E223A" w:rsidP="004E223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4E223A" w:rsidRPr="004E223A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22" w:rsidRDefault="003F6D22">
      <w:r>
        <w:separator/>
      </w:r>
    </w:p>
  </w:endnote>
  <w:endnote w:type="continuationSeparator" w:id="0">
    <w:p w:rsidR="003F6D22" w:rsidRDefault="003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E22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E22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C07924B" wp14:editId="29842894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FCE7DC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4E158DBB" wp14:editId="2BEB2237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68C654E" wp14:editId="03174C9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22" w:rsidRDefault="003F6D22">
      <w:r>
        <w:separator/>
      </w:r>
    </w:p>
  </w:footnote>
  <w:footnote w:type="continuationSeparator" w:id="0">
    <w:p w:rsidR="003F6D22" w:rsidRDefault="003F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4F2EEF" wp14:editId="4BC887B4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FFBA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70ADF20" wp14:editId="271ECD8E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C08EE2" wp14:editId="6D366D2F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7F0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1F86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5918"/>
    <w:rsid w:val="003A7996"/>
    <w:rsid w:val="003B30BB"/>
    <w:rsid w:val="003D4054"/>
    <w:rsid w:val="003D4A6B"/>
    <w:rsid w:val="003E0719"/>
    <w:rsid w:val="003F6D22"/>
    <w:rsid w:val="00415A47"/>
    <w:rsid w:val="00446795"/>
    <w:rsid w:val="00473CEC"/>
    <w:rsid w:val="004A7867"/>
    <w:rsid w:val="004C0E3E"/>
    <w:rsid w:val="004C24D1"/>
    <w:rsid w:val="004C3144"/>
    <w:rsid w:val="004D3F17"/>
    <w:rsid w:val="004E223A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C726E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33909"/>
    <w:rsid w:val="00A63B45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1E19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E8DF2"/>
  <w15:docId w15:val="{90F8C68E-C04A-4DC3-BE57-DF584C7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07A6-51D4-432B-97DF-B7FA8797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21</cp:revision>
  <cp:lastPrinted>2023-06-02T13:38:00Z</cp:lastPrinted>
  <dcterms:created xsi:type="dcterms:W3CDTF">2023-02-10T12:34:00Z</dcterms:created>
  <dcterms:modified xsi:type="dcterms:W3CDTF">2024-01-25T13:33:00Z</dcterms:modified>
</cp:coreProperties>
</file>