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3" w:rsidRDefault="00DC2513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FA2CCA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C51836" w:rsidRDefault="00C51836" w:rsidP="00C518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Ъ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Е</w:t>
      </w:r>
    </w:p>
    <w:p w:rsidR="00C51836" w:rsidRDefault="00C51836" w:rsidP="00C51836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51836" w:rsidRPr="00B91EB3" w:rsidRDefault="00C51836" w:rsidP="00EE640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„Напояване на земеделска земя с царевица в землището на с. Търнава с мобилна </w:t>
      </w:r>
      <w:proofErr w:type="spellStart"/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пивотна</w:t>
      </w:r>
      <w:proofErr w:type="spellEnd"/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инсталация за дъждуване модел/марка 8120/</w:t>
      </w:r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valley</w:t>
      </w:r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“, с възложител „Надежда Търнава“ ЕООД, с. Търнава, общ. Бяла Слатина, </w:t>
      </w:r>
      <w:proofErr w:type="spellStart"/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обл</w:t>
      </w:r>
      <w:proofErr w:type="spellEnd"/>
      <w:r w:rsidR="00D14C73"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. Враца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, на основание чл. 5, ал. 2 от </w:t>
      </w:r>
      <w:bookmarkStart w:id="0" w:name="_GoBack"/>
      <w:r w:rsidRPr="00B91EB3"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bookmarkEnd w:id="0"/>
      <w:r w:rsidRPr="00B91EB3">
        <w:rPr>
          <w:rFonts w:ascii="Times New Roman" w:hAnsi="Times New Roman"/>
          <w:sz w:val="24"/>
          <w:szCs w:val="24"/>
          <w:lang w:val="bg-BG"/>
        </w:rPr>
        <w:t>, РИОСВ- Враца уведомява за следното:</w:t>
      </w:r>
    </w:p>
    <w:p w:rsidR="00C51836" w:rsidRPr="00B91EB3" w:rsidRDefault="00C51836" w:rsidP="00C5183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1836" w:rsidRPr="00B91EB3" w:rsidRDefault="00C51836" w:rsidP="00C51836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B91EB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91EB3"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предвижда напояване на земеделска земя, засята с царевица в землището на с. Търнава, общ. Бяла Слатина, </w:t>
      </w:r>
      <w:proofErr w:type="spellStart"/>
      <w:r w:rsidRPr="00B91EB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B91EB3">
        <w:rPr>
          <w:rFonts w:ascii="Times New Roman" w:hAnsi="Times New Roman"/>
          <w:sz w:val="24"/>
          <w:szCs w:val="24"/>
          <w:lang w:val="bg-BG"/>
        </w:rPr>
        <w:t xml:space="preserve">. Враца с мобилна </w:t>
      </w:r>
      <w:proofErr w:type="spellStart"/>
      <w:r w:rsidRPr="00B91EB3">
        <w:rPr>
          <w:rFonts w:ascii="Times New Roman" w:hAnsi="Times New Roman"/>
          <w:sz w:val="24"/>
          <w:szCs w:val="24"/>
          <w:lang w:val="bg-BG"/>
        </w:rPr>
        <w:t>пивотна</w:t>
      </w:r>
      <w:proofErr w:type="spellEnd"/>
      <w:r w:rsidRPr="00B91EB3">
        <w:rPr>
          <w:rFonts w:ascii="Times New Roman" w:hAnsi="Times New Roman"/>
          <w:sz w:val="24"/>
          <w:szCs w:val="24"/>
          <w:lang w:val="bg-BG"/>
        </w:rPr>
        <w:t xml:space="preserve"> инсталация за дъждуване </w:t>
      </w:r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модел 8120, марка </w:t>
      </w:r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Valley</w:t>
      </w:r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и мобилна електрическа помпена система. Земеделските земи, които ще се поливат, са обособени в едно напоително поле в землището на с. Търнава.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 Същите се ползват на основание </w:t>
      </w:r>
      <w:r w:rsidRPr="00B91EB3">
        <w:rPr>
          <w:rFonts w:ascii="Times New Roman" w:hAnsi="Times New Roman"/>
          <w:i/>
          <w:sz w:val="24"/>
          <w:szCs w:val="24"/>
          <w:lang w:val="bg-BG"/>
        </w:rPr>
        <w:t>Споразумение на масиви за ползване на земеделски земи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B91EB3">
        <w:rPr>
          <w:rFonts w:ascii="Times New Roman" w:hAnsi="Times New Roman"/>
          <w:i/>
          <w:sz w:val="24"/>
          <w:szCs w:val="24"/>
          <w:lang w:val="bg-BG"/>
        </w:rPr>
        <w:t>изготвено на основание чл. 37в, ал. 2 от ЗСПЗЗ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91EB3">
        <w:rPr>
          <w:rFonts w:ascii="Times New Roman" w:hAnsi="Times New Roman"/>
          <w:i/>
          <w:sz w:val="24"/>
          <w:szCs w:val="24"/>
          <w:lang w:val="bg-BG"/>
        </w:rPr>
        <w:t xml:space="preserve">за стопанска година 2025/2026 за землището на с. Търнава, ЕКАТТЕ 73643, общ. Бяла Слатина, </w:t>
      </w:r>
      <w:proofErr w:type="spellStart"/>
      <w:r w:rsidRPr="00B91EB3">
        <w:rPr>
          <w:rFonts w:ascii="Times New Roman" w:hAnsi="Times New Roman"/>
          <w:i/>
          <w:sz w:val="24"/>
          <w:szCs w:val="24"/>
          <w:lang w:val="bg-BG"/>
        </w:rPr>
        <w:t>обл</w:t>
      </w:r>
      <w:proofErr w:type="spellEnd"/>
      <w:r w:rsidRPr="00B91EB3">
        <w:rPr>
          <w:rFonts w:ascii="Times New Roman" w:hAnsi="Times New Roman"/>
          <w:i/>
          <w:sz w:val="24"/>
          <w:szCs w:val="24"/>
          <w:lang w:val="bg-BG"/>
        </w:rPr>
        <w:t>. Враца.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 Новопроектираната напоителна система се състои от надземен гъвкав маркуч за </w:t>
      </w:r>
      <w:proofErr w:type="spellStart"/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>водовземане</w:t>
      </w:r>
      <w:proofErr w:type="spellEnd"/>
      <w:r w:rsidRPr="00B91EB3">
        <w:rPr>
          <w:rFonts w:ascii="Times New Roman" w:hAnsi="Times New Roman"/>
          <w:bCs/>
          <w:sz w:val="24"/>
          <w:szCs w:val="24"/>
          <w:bdr w:val="none" w:sz="0" w:space="0" w:color="auto" w:frame="1"/>
          <w:lang w:val="bg-BG" w:eastAsia="bg-BG"/>
        </w:rPr>
        <w:t xml:space="preserve"> от р. Скът чрез един брой мобилна дизел мото помпа. 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Мястото определено за </w:t>
      </w:r>
      <w:proofErr w:type="spellStart"/>
      <w:r w:rsidRPr="00B91EB3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B91EB3">
        <w:rPr>
          <w:rFonts w:ascii="Times New Roman" w:hAnsi="Times New Roman"/>
          <w:sz w:val="24"/>
          <w:szCs w:val="24"/>
          <w:lang w:val="bg-BG"/>
        </w:rPr>
        <w:t xml:space="preserve"> е с координати: </w:t>
      </w:r>
      <w:r w:rsidRPr="00B91EB3">
        <w:rPr>
          <w:rFonts w:ascii="Times New Roman" w:hAnsi="Times New Roman"/>
          <w:sz w:val="24"/>
          <w:szCs w:val="24"/>
        </w:rPr>
        <w:t>N 43</w:t>
      </w:r>
      <w:r w:rsidRPr="00B91EB3">
        <w:rPr>
          <w:rFonts w:ascii="Times New Roman" w:hAnsi="Times New Roman"/>
          <w:sz w:val="24"/>
          <w:szCs w:val="24"/>
          <w:lang w:val="bg-BG"/>
        </w:rPr>
        <w:t>.514567;</w:t>
      </w:r>
      <w:r w:rsidRPr="00B91EB3">
        <w:rPr>
          <w:rFonts w:ascii="Times New Roman" w:hAnsi="Times New Roman"/>
          <w:sz w:val="24"/>
          <w:szCs w:val="24"/>
        </w:rPr>
        <w:t xml:space="preserve"> E.23.859463. 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 xml:space="preserve">Не се налага изграждане на нова техническа инфраструктура. 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>Водопроводната система няма да се вкопава – ще се полага върху терена.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 xml:space="preserve">Не се предвижда използването на природни ресурси по време на строителството. По време на експлоатацията ще се използва вода за поливане от р. Скът. 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Дейностите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време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строежа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експлоатацията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обектите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свързани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формиране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91EB3">
        <w:rPr>
          <w:rFonts w:ascii="Times New Roman" w:hAnsi="Times New Roman"/>
          <w:sz w:val="24"/>
          <w:szCs w:val="24"/>
          <w:lang w:val="ru-RU"/>
        </w:rPr>
        <w:t>отпадъчни</w:t>
      </w:r>
      <w:proofErr w:type="spellEnd"/>
      <w:r w:rsidRPr="00B91EB3">
        <w:rPr>
          <w:rFonts w:ascii="Times New Roman" w:hAnsi="Times New Roman"/>
          <w:sz w:val="24"/>
          <w:szCs w:val="24"/>
          <w:lang w:val="ru-RU"/>
        </w:rPr>
        <w:t xml:space="preserve"> води.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>По време на реализацията на ИП не се очаква значителен дял на емисии на вредни вещества във въздуха. Няма да се ползва взрив.</w:t>
      </w:r>
    </w:p>
    <w:p w:rsidR="00D14C73" w:rsidRPr="00B91EB3" w:rsidRDefault="00D14C73" w:rsidP="00D14C7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ab/>
        <w:t xml:space="preserve">Инвестиционно предложение попада в обхвата т. 1, буква „в“ от Приложение № 2 на </w:t>
      </w:r>
      <w:r w:rsidRPr="00B91EB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B91EB3">
        <w:rPr>
          <w:rFonts w:ascii="Times New Roman" w:hAnsi="Times New Roman"/>
          <w:sz w:val="24"/>
          <w:szCs w:val="24"/>
        </w:rPr>
        <w:t xml:space="preserve"> (</w:t>
      </w:r>
      <w:r w:rsidRPr="00B91EB3">
        <w:rPr>
          <w:rFonts w:ascii="Times New Roman" w:hAnsi="Times New Roman"/>
          <w:sz w:val="24"/>
          <w:szCs w:val="24"/>
          <w:lang w:val="bg-BG"/>
        </w:rPr>
        <w:t>ЗООС</w:t>
      </w:r>
      <w:r w:rsidRPr="00B91EB3">
        <w:rPr>
          <w:rFonts w:ascii="Times New Roman" w:hAnsi="Times New Roman"/>
          <w:sz w:val="24"/>
          <w:szCs w:val="24"/>
        </w:rPr>
        <w:t>)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. В тази връзка съгласно чл. 93, ал. 1, т. 1 от ЗООС ИП </w:t>
      </w:r>
      <w:r w:rsidRPr="00B91EB3">
        <w:rPr>
          <w:rFonts w:ascii="Times New Roman" w:hAnsi="Times New Roman"/>
          <w:b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</w:t>
      </w:r>
      <w:r w:rsidRPr="00B91EB3">
        <w:rPr>
          <w:rFonts w:ascii="Times New Roman" w:hAnsi="Times New Roman"/>
          <w:sz w:val="24"/>
          <w:szCs w:val="24"/>
          <w:lang w:val="bg-BG"/>
        </w:rPr>
        <w:t>.</w:t>
      </w:r>
    </w:p>
    <w:p w:rsidR="00D14C73" w:rsidRPr="00B91EB3" w:rsidRDefault="00D14C73" w:rsidP="00D14C73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91EB3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B91EB3">
        <w:rPr>
          <w:rFonts w:ascii="Times New Roman" w:hAnsi="Times New Roman"/>
          <w:sz w:val="24"/>
          <w:szCs w:val="24"/>
          <w:lang w:val="bg-BG"/>
        </w:rPr>
        <w:t xml:space="preserve">т ЗООС. 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ab/>
      </w:r>
    </w:p>
    <w:p w:rsidR="00D14C73" w:rsidRPr="00B91EB3" w:rsidRDefault="00D14C73" w:rsidP="00D14C73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Съгласно изискванията на чл.</w:t>
      </w:r>
      <w:r w:rsidRPr="00B91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B91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B91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B91EB3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- Плевен </w:t>
      </w:r>
      <w:r w:rsidRPr="00B91EB3">
        <w:rPr>
          <w:rFonts w:ascii="Times New Roman" w:hAnsi="Times New Roman"/>
          <w:color w:val="000000"/>
          <w:sz w:val="24"/>
          <w:szCs w:val="24"/>
        </w:rPr>
        <w:t>(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БДДР</w:t>
      </w:r>
      <w:r w:rsidRPr="00B91EB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 xml:space="preserve">за становище, относно допустимостта на инвестиционното предложение спрямо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B91EB3" w:rsidRPr="009003CE" w:rsidRDefault="00B91EB3" w:rsidP="00B91EB3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Предвид получените в РИОСВ - Враца становища на БДДР, реализацията на ИП не се очаква да окаже негативно въздействие върху водите и водните екосистеми и е </w:t>
      </w:r>
      <w:r w:rsidRPr="009003CE">
        <w:rPr>
          <w:rFonts w:ascii="Times New Roman" w:hAnsi="Times New Roman"/>
          <w:b/>
          <w:color w:val="000000"/>
          <w:sz w:val="24"/>
          <w:szCs w:val="24"/>
          <w:lang w:val="bg-BG"/>
        </w:rPr>
        <w:t>допустима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 спрямо ПУРБ и ПУРН в Дунавски район за периода 2022-2027 г., и спрямо </w:t>
      </w: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>Закона за водите</w:t>
      </w:r>
      <w:r w:rsidRPr="009003C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9003CE">
        <w:rPr>
          <w:rFonts w:ascii="Times New Roman" w:hAnsi="Times New Roman"/>
          <w:color w:val="000000"/>
          <w:sz w:val="24"/>
          <w:szCs w:val="24"/>
        </w:rPr>
        <w:t>(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9003CE">
        <w:rPr>
          <w:rFonts w:ascii="Times New Roman" w:hAnsi="Times New Roman"/>
          <w:color w:val="000000"/>
          <w:sz w:val="24"/>
          <w:szCs w:val="24"/>
        </w:rPr>
        <w:t>)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наредбите към него, при спазване на мерките и законовите изисквания, посочени в т.1.1.5 и т.2 от становището, в т.ч.:</w:t>
      </w:r>
    </w:p>
    <w:p w:rsidR="00B91EB3" w:rsidRPr="009003CE" w:rsidRDefault="00B91EB3" w:rsidP="00B91EB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- Мярка с код </w:t>
      </w:r>
      <w:r w:rsidRPr="009003CE">
        <w:rPr>
          <w:rFonts w:ascii="Times New Roman" w:hAnsi="Times New Roman"/>
          <w:color w:val="000000"/>
          <w:sz w:val="24"/>
          <w:szCs w:val="24"/>
        </w:rPr>
        <w:t>DW_</w:t>
      </w:r>
      <w:r w:rsidRPr="009003CE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Забрани и ограничения за изпълнение на дейности в буферните зони около </w:t>
      </w:r>
      <w:proofErr w:type="spellStart"/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>водовземни</w:t>
      </w:r>
      <w:proofErr w:type="spellEnd"/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съоръжения/системи 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и код на действието </w:t>
      </w:r>
      <w:r w:rsidRPr="009003CE">
        <w:rPr>
          <w:rFonts w:ascii="Times New Roman" w:hAnsi="Times New Roman"/>
          <w:color w:val="000000"/>
          <w:sz w:val="24"/>
          <w:szCs w:val="24"/>
        </w:rPr>
        <w:t>DW_1_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4 </w:t>
      </w: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>Спазване на забрани и ограничения в СОЗ съгласно заповедта за определяне на зоната и списъка по приложение № 1 към Националния каталог от мерки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9003CE">
        <w:rPr>
          <w:rFonts w:ascii="Times New Roman" w:hAnsi="Times New Roman"/>
          <w:color w:val="000000"/>
          <w:sz w:val="24"/>
          <w:szCs w:val="24"/>
        </w:rPr>
        <w:t>(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ПУРБ</w:t>
      </w:r>
      <w:r w:rsidRPr="009003CE">
        <w:rPr>
          <w:rFonts w:ascii="Times New Roman" w:hAnsi="Times New Roman"/>
          <w:color w:val="000000"/>
          <w:sz w:val="24"/>
          <w:szCs w:val="24"/>
        </w:rPr>
        <w:t>)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B91EB3" w:rsidRPr="009003CE" w:rsidRDefault="00B91EB3" w:rsidP="00B91EB3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- </w:t>
      </w:r>
      <w:proofErr w:type="spellStart"/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Водовземането</w:t>
      </w:r>
      <w:proofErr w:type="spellEnd"/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повърхностно води подлежи на разрешителен режим, съгласно Глава четвърта от ЗВ, при спазване изискванията, определени в </w:t>
      </w: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ползването на повърхностните води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, в т. ч. разпоредбите на чл. 22, ал. 1 от същата Наредба.</w:t>
      </w:r>
    </w:p>
    <w:p w:rsidR="00B91EB3" w:rsidRPr="009003CE" w:rsidRDefault="00B91EB3" w:rsidP="00B91EB3">
      <w:pPr>
        <w:jc w:val="both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- При реализацията на ИП, да се вземат предвид изискванията на чл. 60, ал. 2, т. 4 от ЗВ: </w:t>
      </w: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>„Към заявлението за откриване на процедура за издаване на разрешително се прилага документ, удостоверяващ техническа невъзможност за достъп до напоителна система, когато заявителят е земеделски стопанин“.</w:t>
      </w:r>
    </w:p>
    <w:p w:rsidR="00B91EB3" w:rsidRPr="009003CE" w:rsidRDefault="00B91EB3" w:rsidP="00B91EB3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003CE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- </w:t>
      </w: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>За водите, предназначени за напояване следва да се спазват изискванията на Наредба № 18 от 27.05.2009 г. за качеството на водите за напояване на земеделските култури;</w:t>
      </w:r>
    </w:p>
    <w:p w:rsidR="00D14C73" w:rsidRDefault="00B91EB3" w:rsidP="00B91EB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003CE">
        <w:rPr>
          <w:rFonts w:ascii="Times New Roman" w:hAnsi="Times New Roman"/>
          <w:color w:val="000000"/>
          <w:sz w:val="24"/>
          <w:szCs w:val="24"/>
          <w:lang w:val="bg-BG"/>
        </w:rPr>
        <w:t xml:space="preserve">- Да се спазват  забраните на чл. 134 и чл. 143 от </w:t>
      </w:r>
      <w:r w:rsidRPr="00A44E04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Закона за водите.  </w:t>
      </w:r>
    </w:p>
    <w:p w:rsidR="00D14C73" w:rsidRDefault="00D14C73" w:rsidP="00EE64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640B" w:rsidRPr="00676DC2" w:rsidRDefault="00EE640B" w:rsidP="00EE640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 w:rsidRPr="00676DC2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 на чл.31 от Закона за </w:t>
      </w:r>
      <w:proofErr w:type="spellStart"/>
      <w:r w:rsidRPr="00676DC2"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 w:rsidRPr="00676DC2">
        <w:rPr>
          <w:rFonts w:ascii="Times New Roman" w:hAnsi="Times New Roman"/>
          <w:b/>
          <w:sz w:val="24"/>
          <w:szCs w:val="24"/>
          <w:lang w:val="ru-RU"/>
        </w:rPr>
        <w:t xml:space="preserve"> разнообразие (ЗБР):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76DC2">
        <w:rPr>
          <w:rFonts w:ascii="Times New Roman" w:hAnsi="Times New Roman"/>
          <w:bCs/>
          <w:sz w:val="24"/>
          <w:szCs w:val="24"/>
          <w:lang w:val="bg-BG"/>
        </w:rPr>
        <w:tab/>
      </w:r>
      <w:r w:rsidRPr="00676DC2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tbl>
      <w:tblPr>
        <w:tblW w:w="9216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6"/>
      </w:tblGrid>
      <w:tr w:rsidR="00EE640B" w:rsidRPr="00F63BD4" w:rsidTr="00211F08">
        <w:tc>
          <w:tcPr>
            <w:tcW w:w="9216" w:type="dxa"/>
            <w:shd w:val="clear" w:color="auto" w:fill="F9F9F9"/>
            <w:vAlign w:val="center"/>
            <w:hideMark/>
          </w:tcPr>
          <w:p w:rsidR="00B91EB3" w:rsidRPr="009003CE" w:rsidRDefault="00B91EB3" w:rsidP="00B91EB3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След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направената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заявеното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ИП </w:t>
            </w:r>
            <w:proofErr w:type="spellStart"/>
            <w:r w:rsidRPr="009003C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9003C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попада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границите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територии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смисъла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защитените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територии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(ЗЗТ).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Мястото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водовземане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имота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които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достига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попадат</w:t>
            </w:r>
            <w:proofErr w:type="spellEnd"/>
            <w:r w:rsidRPr="009003C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територията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BG0000508 "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Скът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опазване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природните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местообитания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дивата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флора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фаун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обявена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 РД-49/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17.01.2024 г.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министъра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околната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в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Държавен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вестник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10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0202.2024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г).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Част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имотите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предвидени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напояване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граничат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извършената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проверка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допустимост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смисъла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чл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40,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2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във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връзка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чл.12,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5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bg-BG"/>
              </w:rPr>
              <w:t xml:space="preserve"> </w:t>
            </w:r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lang w:val="bg-BG"/>
              </w:rPr>
              <w:t>Наредба за условията и реда за извършване на оценка за съвместимостта на планове, програми, проекти и инвестиционни</w:t>
            </w:r>
            <w:r w:rsidRPr="009003C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предложения с предмета и целите на опазване на защитените зони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003CE">
              <w:rPr>
                <w:rFonts w:ascii="Times New Roman" w:hAnsi="Times New Roman"/>
                <w:sz w:val="24"/>
                <w:szCs w:val="24"/>
                <w:lang w:val="bg-BG"/>
              </w:rPr>
              <w:t>(Наредбата за ОС)</w:t>
            </w: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ИП </w:t>
            </w:r>
            <w:r w:rsidRPr="00D4336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Pr="00D4336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допустимо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спрямо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-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BG0000508 "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Река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Скът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определен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със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заповедта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обявяването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й; </w:t>
            </w:r>
          </w:p>
          <w:p w:rsidR="00B91EB3" w:rsidRPr="009003CE" w:rsidRDefault="00B91EB3" w:rsidP="00B91E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ПУРБ и ПУРИ в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Дунавски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район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периода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2022 - 2027 г.,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спрямо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водите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наредбите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към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него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очаква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ИП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окаже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негативно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въздействие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върху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водните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екосистеми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спазване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мерките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законовите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изисквания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посочени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становището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003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БДДР. </w:t>
            </w:r>
          </w:p>
          <w:p w:rsidR="00EE640B" w:rsidRPr="00676DC2" w:rsidRDefault="00EE640B" w:rsidP="00211F08">
            <w:pP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B91EB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Инвестиционното предложение попада под разпоредбите на чл. 2, ал. 1, т. 1 от </w:t>
            </w:r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lang w:val="bg-BG"/>
              </w:rPr>
              <w:t>Наредба за условията и реда за извършване на оценка за съвместимостта на планове, програми, проекти и инвестиционни</w:t>
            </w:r>
            <w:r w:rsidRPr="00B91EB3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предложения с предмета и целите на опазване на защитените зони</w:t>
            </w:r>
            <w:r w:rsidRPr="00B91EB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(Наредбата за ОС)</w:t>
            </w:r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поради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което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подлежи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процедура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съвместимостта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предмета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целите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опазване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защитените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зони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реда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чл.31,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4,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във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връзка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1 </w:t>
            </w:r>
            <w:proofErr w:type="spellStart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Закона</w:t>
            </w:r>
            <w:proofErr w:type="spellEnd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биологичното</w:t>
            </w:r>
            <w:proofErr w:type="spellEnd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1EB3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разнообразие</w:t>
            </w:r>
            <w:proofErr w:type="spellEnd"/>
            <w:r w:rsidRPr="00B91E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C51836" w:rsidRDefault="00C51836" w:rsidP="00C51836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</w:p>
    <w:p w:rsidR="00C51836" w:rsidRDefault="00C51836" w:rsidP="00C51836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Бяла Слатина</w:t>
      </w:r>
      <w:r w:rsidR="00D14C73">
        <w:rPr>
          <w:rFonts w:ascii="Times New Roman" w:hAnsi="Times New Roman"/>
          <w:i/>
          <w:sz w:val="24"/>
          <w:szCs w:val="24"/>
          <w:lang w:val="bg-BG"/>
        </w:rPr>
        <w:t>, кметство с. Търнава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и БДДР – Плевен.</w:t>
      </w:r>
    </w:p>
    <w:p w:rsidR="00C51836" w:rsidRDefault="00C51836" w:rsidP="00C51836">
      <w:pPr>
        <w:rPr>
          <w:rFonts w:ascii="Times New Roman" w:hAnsi="Times New Roman"/>
          <w:sz w:val="24"/>
          <w:szCs w:val="24"/>
        </w:rPr>
      </w:pPr>
    </w:p>
    <w:p w:rsidR="00C51836" w:rsidRDefault="00C51836" w:rsidP="00C51836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 w:rsidR="00B91EB3" w:rsidRPr="00B91EB3">
        <w:rPr>
          <w:rFonts w:ascii="Times New Roman" w:hAnsi="Times New Roman"/>
          <w:color w:val="000000"/>
          <w:sz w:val="24"/>
          <w:szCs w:val="24"/>
          <w:lang w:val="bg-BG"/>
        </w:rPr>
        <w:t>02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B91EB3">
        <w:rPr>
          <w:rFonts w:ascii="Times New Roman" w:hAnsi="Times New Roman"/>
          <w:color w:val="000000"/>
          <w:sz w:val="24"/>
          <w:szCs w:val="24"/>
        </w:rPr>
        <w:t>0</w:t>
      </w:r>
      <w:r w:rsidR="00B91EB3" w:rsidRPr="00B91EB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B91EB3">
        <w:rPr>
          <w:rFonts w:ascii="Times New Roman" w:hAnsi="Times New Roman"/>
          <w:color w:val="000000"/>
          <w:sz w:val="24"/>
          <w:szCs w:val="24"/>
        </w:rPr>
        <w:t>2</w:t>
      </w:r>
      <w:r w:rsidRPr="00B91EB3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C51836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85" w:rsidRDefault="00074785">
      <w:r>
        <w:separator/>
      </w:r>
    </w:p>
  </w:endnote>
  <w:endnote w:type="continuationSeparator" w:id="0">
    <w:p w:rsidR="00074785" w:rsidRDefault="0007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91E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91EB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900CA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85" w:rsidRDefault="00074785">
      <w:r>
        <w:separator/>
      </w:r>
    </w:p>
  </w:footnote>
  <w:footnote w:type="continuationSeparator" w:id="0">
    <w:p w:rsidR="00074785" w:rsidRDefault="0007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3621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9C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74785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46E77"/>
    <w:rsid w:val="00352F4E"/>
    <w:rsid w:val="00377B7B"/>
    <w:rsid w:val="003A2792"/>
    <w:rsid w:val="003A2A77"/>
    <w:rsid w:val="003A7996"/>
    <w:rsid w:val="003B30BB"/>
    <w:rsid w:val="003C188F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5396"/>
    <w:rsid w:val="005B69F7"/>
    <w:rsid w:val="005C0D0B"/>
    <w:rsid w:val="005D759C"/>
    <w:rsid w:val="005D7788"/>
    <w:rsid w:val="005D7A64"/>
    <w:rsid w:val="005E7516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86FEC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4396B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91EB3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51836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14C73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47A76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EE640B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DF023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2E0E-8F73-4A42-97A2-7746EE72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9</cp:revision>
  <cp:lastPrinted>2024-10-25T12:53:00Z</cp:lastPrinted>
  <dcterms:created xsi:type="dcterms:W3CDTF">2026-01-29T14:23:00Z</dcterms:created>
  <dcterms:modified xsi:type="dcterms:W3CDTF">2026-03-02T10:54:00Z</dcterms:modified>
</cp:coreProperties>
</file>