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C51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1836" w:rsidRPr="00A65EB2" w:rsidRDefault="00C51836" w:rsidP="00A65EB2">
      <w:pPr>
        <w:jc w:val="both"/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A65EB2" w:rsidRPr="00A65EB2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„Изграждане на експериментален (проучвателен) сондаж за тестово инжектиране на въглероден диоксид в хидрогеоложки структури, части от геоложки структури, трайно неподходящи за други цели“, в поземлен имот 23618.129.1, землище с. Драшан, общ. Бяла Слатина, обл. Враца, с възложител „Холсим БелиНетЗиро Сторидж“ ЕАД, с. Бели извор, общ. Враца, обл. Враца</w:t>
      </w:r>
      <w:r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C51836" w:rsidRDefault="00C51836" w:rsidP="00C518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1836" w:rsidRDefault="00C51836" w:rsidP="00C51836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</w:t>
      </w:r>
      <w:r>
        <w:rPr>
          <w:rFonts w:ascii="Times New Roman" w:hAnsi="Times New Roman"/>
          <w:sz w:val="24"/>
          <w:szCs w:val="24"/>
          <w:lang w:val="bg-BG"/>
        </w:rPr>
        <w:t xml:space="preserve">прокарването на експериментален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проучвателен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сондаж на дълбочина 1500 м и тестово инжектиране на 10 К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  <w:lang w:val="bg-BG"/>
        </w:rPr>
        <w:t>чист СО</w:t>
      </w:r>
      <w:r w:rsidRPr="00354426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долнокредна, високоминерализирана, антиклинална хидрогеоложка структура в района на с. Драшан, общ. Бяла Слатина, обл. Враца. Сондажната площадка ще бъде разположена в поземлен имот с идентификатор 23618.129.1, с площ от 16 711 кв.м, местност „Циганчака“, находящ се в землището на с. Драшан, общ. Бяла Слатина, обл. Враца, собственост на „Холсим България“ АД. За нуждите на ИП между собственика и „Холсим БелиНетЗиро Сторидж“ ЕАД е сключен договор за учредяване на  право на ползване. 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ИП е част от научноизследователски проект № 101136122 „Разработване на демонстрационен проект за транспорт и инжектиране на въглероден диоксид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СО</w:t>
      </w:r>
      <w:r w:rsidRPr="00354426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bg-BG"/>
        </w:rPr>
        <w:t xml:space="preserve">в Източна Европа – </w:t>
      </w:r>
      <w:r>
        <w:rPr>
          <w:rFonts w:ascii="Times New Roman" w:hAnsi="Times New Roman"/>
          <w:sz w:val="24"/>
          <w:szCs w:val="24"/>
        </w:rPr>
        <w:t>Eastern Lights</w:t>
      </w:r>
      <w:r>
        <w:rPr>
          <w:rFonts w:ascii="Times New Roman" w:hAnsi="Times New Roman"/>
          <w:sz w:val="24"/>
          <w:szCs w:val="24"/>
          <w:lang w:val="bg-BG"/>
        </w:rPr>
        <w:t>“, финансиран по програма „Хоризонт Европа“ на Европейската комисия, в който „Холсим БелиНетЗиро Сторидж“ ЕАД е партньор. Основната цел на проекта чрез демонстрация и задълбочени научни изследвания да се проучат възможностите за транспорт и инжектиране на</w:t>
      </w:r>
      <w:r w:rsidRPr="001D6D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СО</w:t>
      </w:r>
      <w:r w:rsidRPr="00354426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подходящи геоложки формации.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изпълнение на дейностите по проект „</w:t>
      </w:r>
      <w:r>
        <w:rPr>
          <w:rFonts w:ascii="Times New Roman" w:hAnsi="Times New Roman"/>
          <w:sz w:val="24"/>
          <w:szCs w:val="24"/>
        </w:rPr>
        <w:t>Eastern Lights</w:t>
      </w:r>
      <w:r>
        <w:rPr>
          <w:rFonts w:ascii="Times New Roman" w:hAnsi="Times New Roman"/>
          <w:sz w:val="24"/>
          <w:szCs w:val="24"/>
          <w:lang w:val="bg-BG"/>
        </w:rPr>
        <w:t>“ е проведено проучване на територията на Северозападна България, с цел намиране на подходящо място за изпълнение на ИП. Предвид проведените геоложки и хидрогеоложки проучвания и съгласно технологичните изисквания е избрано местоположението на сондажа в землището на с. Драшан, общ. Бяла Слатина. Сондаж Р-6 Драшан ще бъде с дълбочина 1500 м и ще достигне до антиклинални хидрогеоложки структури с долнокредни високоминерализирани води, трайно неподходящи за други цели. След достигане на проектната дълбочина, през сондажа, за целите на експеримента, ще бъдат инжектирани 10 К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  <w:lang w:val="bg-BG"/>
        </w:rPr>
        <w:t>СО</w:t>
      </w:r>
      <w:r w:rsidRPr="00354426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като през цялото време, посредством поставени сензори, ще бъде следено взаимодействието му със скалните разновидности. В обхвата на изследванията се включва детайлно изучаване на хидродинамичните свойства и химичния състав на пластовите води, както и потвърждаване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наличието на затворена капанираща структура, подходяща за съхранение на</w:t>
      </w:r>
      <w:r w:rsidRPr="006126C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СО</w:t>
      </w:r>
      <w:r w:rsidRPr="00354426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Ще бъдат определени максимално допустимите налягания за нагнетяване, както и общата оценка на допустимите обеми за инжектиране. Сондажът ще изпълнява и мониторингова функция, като в задтръбното пространство и вътре в него ще бъдат инсталирани сензорни системи. 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оглед оценка на инженерно-геоложките условия в рамките на сондажната площадка се планира прокарване на инженерно-геоложки сондаж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ИГС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, чрез който да се установи наличието на каверни под повърхността на малка дълбочина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Дълбочината на сондажа ще е 50 м. В зависимост от получените резултати ще се използват различни методи – полеви, лабораторни и изчислителни. След приключването на изследванията ИГС ще се преоборудва като мониторингов сондаж.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осигуряване на достъп до сондажната апаратура и сервизни съоръжения ще се изгради път. Планира се използването на съществуващи полски пътища, които ще бъдат подсилени с трошен камък. Подготовката на терена включва изземване и съхранение на хумусния слой, подравняване  и застилане с трошен камък в различни фракции. За целите на сондажната дейност ще бъде монтирана и впоследствие демонтирана сондова апаратура и съоръжения към нея. Апаратурата ще бъде захранвана с дизелови агрегати. Процесът на сондиране ще се контролира от мониторингова стая. С оглед постигане на целите на сондажа се предвижда провеждане на ядково сондиране по схема. При достигане на дълбочина от 120 м, на всеки 50 м до приблизително 1000 м дълбочина ще се извлича по един ядков рейс. Под тази дълбочина се предвижда пълно 100% ядково сондиране с цел осигуряване на непрекъсната информация за литоложкия и структурен строеж на разреза. През цялото време на сондиране на площадката ще присъства полева лаборатория за провеждане на различни видове изследвания. Всички сондажни съоръжения ще бъдат проверяване периодично.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Всички видове отпадъци, които се образуват на площадката ще се третират съгласно </w:t>
      </w:r>
      <w:r w:rsidRPr="009E28B7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>
        <w:rPr>
          <w:rFonts w:ascii="Times New Roman" w:hAnsi="Times New Roman"/>
          <w:sz w:val="24"/>
          <w:szCs w:val="24"/>
          <w:lang w:val="bg-BG"/>
        </w:rPr>
        <w:t>. Не се очаква образуване и съхранение на опасни отпадъци.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питейни нужди ще се осигури бутилирана вода. Водата използвана по време на сондажните дейности ще преминава през процес на пречистване и ще се използва отново за тази цел. Не се очаква по време на изпълнение на дейностите на ИП да бъдат засегнати повърхностни и подземни води. По време на експлоатацията на сондажа ще се осигурят химически тоалетни.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Очакват се минимални прахови емисии в горещо и сухо време при подготовката на сондажната площадка. С цел  намаляване на праховите емисии в атмосферния въздух се предвижда площадката да се оросява с водоноски.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Преди започване на сондажните дейности ще се извърши оценка на биоразнообразието.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016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След приключване на сондажните дейности, площите засегнати от ИП ще бъдат възстановени. Хумусния слой, който е депониран в рамките на площадката, ще бъде разстелен обратно посредством булдозери. Ще бъде извършена техническа и биологична рекултивация.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Използваните по време сондирането реагенти ще се съхраняват в складово помещение и/или изолирана площадка. За използваните горива, необходими за агрегатите, се предвижда монтаж на цистерни с капацитет 20 тона, на специално обозначени места, с непропусклива подова настилка. </w:t>
      </w:r>
    </w:p>
    <w:p w:rsidR="00A65EB2" w:rsidRDefault="00A65EB2" w:rsidP="00A65EB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Дейностите по изпълнение на ИП ще бъдат с продължителност 18-16 месеца.</w:t>
      </w:r>
    </w:p>
    <w:p w:rsidR="00A65EB2" w:rsidRPr="00676DC2" w:rsidRDefault="00A65EB2" w:rsidP="00A65EB2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ab/>
      </w:r>
      <w:r w:rsidRPr="00676DC2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нвестиционно предложение попада в обхвата т.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676DC2">
        <w:rPr>
          <w:rFonts w:ascii="Times New Roman" w:hAnsi="Times New Roman"/>
          <w:sz w:val="24"/>
          <w:szCs w:val="24"/>
          <w:lang w:val="bg-BG"/>
        </w:rPr>
        <w:t>, буква „</w:t>
      </w:r>
      <w:r>
        <w:rPr>
          <w:rFonts w:ascii="Times New Roman" w:hAnsi="Times New Roman"/>
          <w:sz w:val="24"/>
          <w:szCs w:val="24"/>
          <w:lang w:val="bg-BG"/>
        </w:rPr>
        <w:t>г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“, от Приложение № 2 на ЗООС. В тази връзка съгласно чл. 93, ал. 1, т. 1 от ЗООС инвестиционното предложение </w:t>
      </w:r>
      <w:r w:rsidRPr="00676DC2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676DC2">
        <w:rPr>
          <w:rFonts w:ascii="Times New Roman" w:hAnsi="Times New Roman"/>
          <w:sz w:val="24"/>
          <w:szCs w:val="24"/>
          <w:lang w:val="bg-BG"/>
        </w:rPr>
        <w:t>.</w:t>
      </w:r>
    </w:p>
    <w:p w:rsidR="00A65EB2" w:rsidRPr="00676DC2" w:rsidRDefault="00A65EB2" w:rsidP="00A65EB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76DC2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676DC2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A65EB2" w:rsidRPr="00676DC2" w:rsidRDefault="00A65EB2" w:rsidP="00A65EB2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С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676D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676DC2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Басейнова дирекция “Дунавски район” (БДДР) - Плевен 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и планове за управление на риска от наводнения (ПУРН). </w:t>
      </w:r>
    </w:p>
    <w:p w:rsidR="00A65EB2" w:rsidRPr="00CB56DE" w:rsidRDefault="00A65EB2" w:rsidP="00A65EB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76DC2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Предвид полученото в РИОСВ - Враца становище на БДДР, реализирането на ИП не се очаква да окаже негативно въздействие върху водите и водните екосистеми и е </w:t>
      </w:r>
      <w:r w:rsidRPr="00CB56DE">
        <w:rPr>
          <w:rFonts w:ascii="Times New Roman" w:hAnsi="Times New Roman"/>
          <w:b/>
          <w:color w:val="000000"/>
          <w:sz w:val="24"/>
          <w:szCs w:val="24"/>
          <w:lang w:val="bg-BG"/>
        </w:rPr>
        <w:t>допустимо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 спрямо целите и мерките  определени в ПУРБ и ПУРН в Дунавски район за периода 2022-2027 г., и спрямо </w:t>
      </w:r>
      <w:r w:rsidRPr="00CB56DE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CB56D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B56DE">
        <w:rPr>
          <w:rFonts w:ascii="Times New Roman" w:hAnsi="Times New Roman"/>
          <w:color w:val="000000"/>
          <w:sz w:val="24"/>
          <w:szCs w:val="24"/>
        </w:rPr>
        <w:t>(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CB56DE">
        <w:rPr>
          <w:rFonts w:ascii="Times New Roman" w:hAnsi="Times New Roman"/>
          <w:color w:val="000000"/>
          <w:sz w:val="24"/>
          <w:szCs w:val="24"/>
        </w:rPr>
        <w:t>)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него, в т.ч.:</w:t>
      </w:r>
    </w:p>
    <w:p w:rsidR="00A65EB2" w:rsidRPr="00CB56DE" w:rsidRDefault="00A65EB2" w:rsidP="00A65EB2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ейностите свързани с инжектиране на въглероден диоксид в геоложки структури подлежат на разрешителен режим при спазване изискванията на чл. 52 от ЗВ и при спазване на разпоредбите на </w:t>
      </w:r>
      <w:r w:rsidRPr="00CB56DE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 № 1/10.10.2007 г. за проучване, ползване и опазване на подземните води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CB56DE">
        <w:rPr>
          <w:rFonts w:ascii="Times New Roman" w:hAnsi="Times New Roman"/>
          <w:color w:val="000000"/>
          <w:sz w:val="24"/>
          <w:szCs w:val="24"/>
        </w:rPr>
        <w:t>(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>Наредба № 1</w:t>
      </w:r>
      <w:r w:rsidRPr="00CB56DE">
        <w:rPr>
          <w:rFonts w:ascii="Times New Roman" w:hAnsi="Times New Roman"/>
          <w:color w:val="000000"/>
          <w:sz w:val="24"/>
          <w:szCs w:val="24"/>
        </w:rPr>
        <w:t>)</w:t>
      </w:r>
      <w:r w:rsidRPr="00CB56DE">
        <w:rPr>
          <w:rFonts w:ascii="Times New Roman" w:hAnsi="Times New Roman"/>
          <w:i/>
          <w:color w:val="000000"/>
          <w:sz w:val="24"/>
          <w:szCs w:val="24"/>
          <w:lang w:val="bg-BG"/>
        </w:rPr>
        <w:t>;</w:t>
      </w:r>
    </w:p>
    <w:p w:rsidR="00A65EB2" w:rsidRPr="00CB56DE" w:rsidRDefault="00A65EB2" w:rsidP="00A65EB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>- За ИГС, който ще се използва като мониторингов сондаж на подземнот</w:t>
      </w:r>
      <w:r w:rsidRPr="00CB56DE">
        <w:rPr>
          <w:rFonts w:ascii="Times New Roman" w:hAnsi="Times New Roman"/>
          <w:color w:val="000000"/>
          <w:sz w:val="24"/>
          <w:szCs w:val="24"/>
        </w:rPr>
        <w:t>o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 водно тяло с код </w:t>
      </w:r>
      <w:r w:rsidRPr="00CB56DE">
        <w:rPr>
          <w:rFonts w:ascii="Times New Roman" w:hAnsi="Times New Roman"/>
          <w:color w:val="000000"/>
          <w:sz w:val="24"/>
          <w:szCs w:val="24"/>
        </w:rPr>
        <w:t xml:space="preserve">BG1G0000K2S037 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следва да се имат предвид разпоредбите на чл. 58, т.5 от ЗВ и чл. 89 и т. 9 от Приложение № 2 към чл. 93, ал. 4 от </w:t>
      </w:r>
      <w:r w:rsidRPr="00CB56DE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 № 1.</w:t>
      </w:r>
      <w:r w:rsidRPr="00CB56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A65EB2" w:rsidRPr="00676DC2" w:rsidRDefault="00A65EB2" w:rsidP="00A65E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5EB2" w:rsidRPr="00676DC2" w:rsidRDefault="00A65EB2" w:rsidP="00A65EB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изискванията на чл.31 от Закона за биологичното разнообразие (ЗБР):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ab/>
      </w:r>
      <w:r w:rsidRPr="00676DC2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tbl>
      <w:tblPr>
        <w:tblW w:w="9216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A65EB2" w:rsidRPr="00165138" w:rsidTr="002C266F">
        <w:tc>
          <w:tcPr>
            <w:tcW w:w="9216" w:type="dxa"/>
            <w:shd w:val="clear" w:color="auto" w:fill="F9F9F9"/>
            <w:vAlign w:val="center"/>
            <w:hideMark/>
          </w:tcPr>
          <w:p w:rsidR="00A65EB2" w:rsidRPr="00CB56DE" w:rsidRDefault="00A65EB2" w:rsidP="002C266F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  <w:t>С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лед направената справка се установи, че мястото на реализация на ИП </w:t>
            </w:r>
            <w:r w:rsidRPr="00CB56DE"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  <w:t>не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CB56DE"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  <w:t>попада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в границите на защитени територии по смисъла на </w:t>
            </w:r>
            <w:r w:rsidRPr="00CB56DE">
              <w:rPr>
                <w:rFonts w:ascii="Times New Roman" w:hAnsi="Times New Roman"/>
                <w:i/>
                <w:sz w:val="24"/>
                <w:szCs w:val="24"/>
                <w:shd w:val="clear" w:color="auto" w:fill="F9F9F9"/>
              </w:rPr>
              <w:t>Закона за защитените територии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(ЗЗТ) и в обхвата на защитени зони съгласно </w:t>
            </w:r>
            <w:r w:rsidRPr="00CB56DE">
              <w:rPr>
                <w:rFonts w:ascii="Times New Roman" w:hAnsi="Times New Roman"/>
                <w:i/>
                <w:sz w:val="24"/>
                <w:szCs w:val="24"/>
                <w:shd w:val="clear" w:color="auto" w:fill="F9F9F9"/>
              </w:rPr>
              <w:t>Закона за биологичното разнообразие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(ЗБР). Най-близо разположените защитени зони, са: </w:t>
            </w:r>
            <w:r w:rsidRPr="00CB56DE"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  <w:t>BG0000332 “Карлуковски карст”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за опазване на дивите птици, обявена със Заповед № РД-788/29.10.2008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  <w:t xml:space="preserve"> 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г. на министъра на околната среда и водите (обн. ДВ, бр. 105/2008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  <w:t xml:space="preserve"> 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г.) – на 200 м и </w:t>
            </w:r>
            <w:r w:rsidRPr="00CB56DE">
              <w:rPr>
                <w:rFonts w:ascii="Times New Roman" w:hAnsi="Times New Roman"/>
                <w:b/>
                <w:sz w:val="24"/>
                <w:szCs w:val="24"/>
                <w:shd w:val="clear" w:color="auto" w:fill="F9F9F9"/>
              </w:rPr>
              <w:t>BG0001014 "Карлуково"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за опазване на природните местообитания и на дивата флора и фауна, обявена със Заповед № РД-329 от 31.03.2021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  <w:t xml:space="preserve"> 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г. на МОСВ (обн. ДВ, бр.53 от 25.06.2021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  <w:t xml:space="preserve"> 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г.) – на 700 м разстояние. </w:t>
            </w:r>
          </w:p>
          <w:p w:rsidR="00A65EB2" w:rsidRPr="00CB56DE" w:rsidRDefault="00A65EB2" w:rsidP="002C266F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B56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Инвестиционното предложение попада под разпоредбите на чл. 2, ал. 1, т. 1 от </w:t>
            </w:r>
            <w:r w:rsidRPr="00CB56D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      </w:r>
            <w:r w:rsidRPr="00CB56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(Наредбата за ОС)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поради което </w:t>
            </w:r>
            <w:r w:rsidRPr="00CB56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подлежи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процедура по Оценка за съвместимостта му с предмета и целите на опазване на защитените зони, по реда на чл.31, ал. 4, във връзка с ал. 1 от </w:t>
            </w:r>
            <w:r w:rsidRPr="00CB56D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Закона за биологичното разнообразие</w:t>
            </w:r>
            <w:r w:rsidRPr="00CB56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51836" w:rsidRDefault="00C51836" w:rsidP="00C51836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Бяла Слатина</w:t>
      </w:r>
      <w:r w:rsidR="00A65EB2">
        <w:rPr>
          <w:rFonts w:ascii="Times New Roman" w:hAnsi="Times New Roman"/>
          <w:i/>
          <w:sz w:val="24"/>
          <w:szCs w:val="24"/>
          <w:lang w:val="bg-BG"/>
        </w:rPr>
        <w:t>, кметство с. Драшан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и БДДР – Плевен.</w:t>
      </w:r>
    </w:p>
    <w:p w:rsidR="00C51836" w:rsidRDefault="00C51836" w:rsidP="00C51836">
      <w:pPr>
        <w:rPr>
          <w:rFonts w:ascii="Times New Roman" w:hAnsi="Times New Roman"/>
          <w:sz w:val="24"/>
          <w:szCs w:val="24"/>
        </w:rPr>
      </w:pPr>
    </w:p>
    <w:p w:rsidR="00C51836" w:rsidRDefault="00C51836" w:rsidP="00C51836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A65EB2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886FEC" w:rsidRPr="00886FEC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886FEC">
        <w:rPr>
          <w:rFonts w:ascii="Times New Roman" w:hAnsi="Times New Roman"/>
          <w:color w:val="000000"/>
          <w:sz w:val="24"/>
          <w:szCs w:val="24"/>
        </w:rPr>
        <w:t>0</w:t>
      </w:r>
      <w:r w:rsidR="001660C4">
        <w:rPr>
          <w:rFonts w:ascii="Times New Roman" w:hAnsi="Times New Roman"/>
          <w:color w:val="000000"/>
          <w:sz w:val="24"/>
          <w:szCs w:val="24"/>
        </w:rPr>
        <w:t>3</w:t>
      </w:r>
      <w:bookmarkStart w:id="0" w:name="_GoBack"/>
      <w:bookmarkEnd w:id="0"/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886FEC">
        <w:rPr>
          <w:rFonts w:ascii="Times New Roman" w:hAnsi="Times New Roman"/>
          <w:color w:val="000000"/>
          <w:sz w:val="24"/>
          <w:szCs w:val="24"/>
        </w:rPr>
        <w:t>2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C51836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16" w:rsidRDefault="00AE5016">
      <w:r>
        <w:separator/>
      </w:r>
    </w:p>
  </w:endnote>
  <w:endnote w:type="continuationSeparator" w:id="0">
    <w:p w:rsidR="00AE5016" w:rsidRDefault="00AE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660C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660C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 xml:space="preserve">гр. Враца 3000, </w:t>
          </w:r>
          <w:proofErr w:type="gramStart"/>
          <w:r w:rsidRPr="00810CB7">
            <w:rPr>
              <w:rFonts w:ascii="Times New Roman" w:eastAsia="Calibri" w:hAnsi="Times New Roman"/>
            </w:rPr>
            <w:t>ул. ”Екзарх</w:t>
          </w:r>
          <w:proofErr w:type="gramEnd"/>
          <w:r w:rsidRPr="00810CB7">
            <w:rPr>
              <w:rFonts w:ascii="Times New Roman" w:eastAsia="Calibri" w:hAnsi="Times New Roman"/>
            </w:rPr>
            <w:t xml:space="preserve">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Footer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900C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16" w:rsidRDefault="00AE5016">
      <w:r>
        <w:separator/>
      </w:r>
    </w:p>
  </w:footnote>
  <w:footnote w:type="continuationSeparator" w:id="0">
    <w:p w:rsidR="00AE5016" w:rsidRDefault="00AE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Heading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3621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60C4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46E77"/>
    <w:rsid w:val="00352F4E"/>
    <w:rsid w:val="00377B7B"/>
    <w:rsid w:val="003A2792"/>
    <w:rsid w:val="003A2A77"/>
    <w:rsid w:val="003A7996"/>
    <w:rsid w:val="003B30BB"/>
    <w:rsid w:val="003C188F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B736B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5396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86FEC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4396B"/>
    <w:rsid w:val="00A65EB2"/>
    <w:rsid w:val="00A671F2"/>
    <w:rsid w:val="00AD13E8"/>
    <w:rsid w:val="00AE5016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5183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47A76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EE640B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90E505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Normal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BalloonText">
    <w:name w:val="Balloon Text"/>
    <w:basedOn w:val="Normal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NormalIndent">
    <w:name w:val="Normal Indent"/>
    <w:basedOn w:val="Normal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FooterChar">
    <w:name w:val="Footer Char"/>
    <w:link w:val="Footer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F693-2D76-4586-94C1-D7C2BA93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angel</cp:lastModifiedBy>
  <cp:revision>9</cp:revision>
  <cp:lastPrinted>2024-10-25T12:53:00Z</cp:lastPrinted>
  <dcterms:created xsi:type="dcterms:W3CDTF">2026-01-29T14:23:00Z</dcterms:created>
  <dcterms:modified xsi:type="dcterms:W3CDTF">2026-03-31T13:17:00Z</dcterms:modified>
</cp:coreProperties>
</file>