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13" w:rsidRDefault="00DC2513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AA1230" w:rsidRDefault="00AA1230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AA1230" w:rsidRDefault="00AA1230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AA1230" w:rsidRDefault="00AA1230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AA1230" w:rsidRDefault="00AA1230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AA1230" w:rsidRDefault="00AA1230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AA1230" w:rsidRDefault="00AA1230" w:rsidP="00AA1230">
      <w:pPr>
        <w:overflowPunct/>
        <w:autoSpaceDE/>
        <w:autoSpaceDN/>
        <w:adjustRightInd/>
        <w:spacing w:line="270" w:lineRule="atLeast"/>
        <w:jc w:val="both"/>
        <w:textAlignment w:val="auto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AA1230" w:rsidRDefault="00AA1230" w:rsidP="00AA1230">
      <w:pPr>
        <w:overflowPunct/>
        <w:autoSpaceDE/>
        <w:autoSpaceDN/>
        <w:adjustRightInd/>
        <w:spacing w:line="270" w:lineRule="atLeast"/>
        <w:jc w:val="both"/>
        <w:textAlignment w:val="auto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AA1230" w:rsidRPr="00F04911" w:rsidRDefault="00AA1230" w:rsidP="00AA1230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spellStart"/>
      <w:r w:rsidRPr="004E07F4">
        <w:rPr>
          <w:rFonts w:ascii="Times New Roman" w:hAnsi="Times New Roman"/>
          <w:color w:val="000000"/>
          <w:sz w:val="24"/>
          <w:szCs w:val="24"/>
          <w:lang w:val="ru-RU"/>
        </w:rPr>
        <w:t>Съгласно</w:t>
      </w:r>
      <w:proofErr w:type="spellEnd"/>
      <w:r w:rsidRPr="004E07F4">
        <w:rPr>
          <w:rFonts w:ascii="Times New Roman" w:hAnsi="Times New Roman"/>
          <w:color w:val="000000"/>
          <w:sz w:val="24"/>
          <w:szCs w:val="24"/>
          <w:lang w:val="ru-RU"/>
        </w:rPr>
        <w:t xml:space="preserve"> чл.15, т.2 от </w:t>
      </w:r>
      <w:proofErr w:type="spellStart"/>
      <w:r w:rsidRPr="004E07F4">
        <w:rPr>
          <w:rFonts w:ascii="Times New Roman" w:hAnsi="Times New Roman"/>
          <w:i/>
          <w:color w:val="000000"/>
          <w:sz w:val="24"/>
          <w:szCs w:val="24"/>
          <w:lang w:val="ru-RU"/>
        </w:rPr>
        <w:t>Наредбата</w:t>
      </w:r>
      <w:proofErr w:type="spellEnd"/>
      <w:r w:rsidRPr="004E07F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за </w:t>
      </w:r>
      <w:proofErr w:type="spellStart"/>
      <w:r w:rsidRPr="004E07F4">
        <w:rPr>
          <w:rFonts w:ascii="Times New Roman" w:hAnsi="Times New Roman"/>
          <w:i/>
          <w:color w:val="000000"/>
          <w:sz w:val="24"/>
          <w:szCs w:val="24"/>
          <w:lang w:val="ru-RU"/>
        </w:rPr>
        <w:t>условията</w:t>
      </w:r>
      <w:proofErr w:type="spellEnd"/>
      <w:r w:rsidRPr="004E07F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и </w:t>
      </w:r>
      <w:proofErr w:type="spellStart"/>
      <w:r w:rsidRPr="004E07F4">
        <w:rPr>
          <w:rFonts w:ascii="Times New Roman" w:hAnsi="Times New Roman"/>
          <w:i/>
          <w:color w:val="000000"/>
          <w:sz w:val="24"/>
          <w:szCs w:val="24"/>
          <w:lang w:val="ru-RU"/>
        </w:rPr>
        <w:t>реда</w:t>
      </w:r>
      <w:proofErr w:type="spellEnd"/>
      <w:r w:rsidRPr="004E07F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за </w:t>
      </w:r>
      <w:proofErr w:type="spellStart"/>
      <w:r w:rsidRPr="004E07F4">
        <w:rPr>
          <w:rFonts w:ascii="Times New Roman" w:hAnsi="Times New Roman"/>
          <w:i/>
          <w:color w:val="000000"/>
          <w:sz w:val="24"/>
          <w:szCs w:val="24"/>
          <w:lang w:val="ru-RU"/>
        </w:rPr>
        <w:t>извършване</w:t>
      </w:r>
      <w:proofErr w:type="spellEnd"/>
      <w:r w:rsidRPr="004E07F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на </w:t>
      </w:r>
      <w:proofErr w:type="spellStart"/>
      <w:r w:rsidRPr="004E07F4">
        <w:rPr>
          <w:rFonts w:ascii="Times New Roman" w:hAnsi="Times New Roman"/>
          <w:i/>
          <w:color w:val="000000"/>
          <w:sz w:val="24"/>
          <w:szCs w:val="24"/>
          <w:lang w:val="ru-RU"/>
        </w:rPr>
        <w:t>екологична</w:t>
      </w:r>
      <w:proofErr w:type="spellEnd"/>
      <w:r w:rsidRPr="004E07F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оценка на </w:t>
      </w:r>
      <w:proofErr w:type="spellStart"/>
      <w:r w:rsidRPr="004E07F4">
        <w:rPr>
          <w:rFonts w:ascii="Times New Roman" w:hAnsi="Times New Roman"/>
          <w:i/>
          <w:color w:val="000000"/>
          <w:sz w:val="24"/>
          <w:szCs w:val="24"/>
          <w:lang w:val="ru-RU"/>
        </w:rPr>
        <w:t>планове</w:t>
      </w:r>
      <w:proofErr w:type="spellEnd"/>
      <w:r w:rsidRPr="004E07F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и </w:t>
      </w:r>
      <w:proofErr w:type="spellStart"/>
      <w:r w:rsidRPr="004E07F4">
        <w:rPr>
          <w:rFonts w:ascii="Times New Roman" w:hAnsi="Times New Roman"/>
          <w:i/>
          <w:color w:val="000000"/>
          <w:sz w:val="24"/>
          <w:szCs w:val="24"/>
          <w:lang w:val="ru-RU"/>
        </w:rPr>
        <w:t>програми</w:t>
      </w:r>
      <w:proofErr w:type="spellEnd"/>
      <w:r w:rsidRPr="004E07F4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4E07F4">
        <w:rPr>
          <w:rFonts w:ascii="Times New Roman" w:hAnsi="Times New Roman"/>
          <w:color w:val="000000"/>
          <w:sz w:val="24"/>
          <w:szCs w:val="24"/>
          <w:lang w:val="ru-RU"/>
        </w:rPr>
        <w:t>Наредбата</w:t>
      </w:r>
      <w:proofErr w:type="spellEnd"/>
      <w:r w:rsidRPr="004E07F4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ЕО) РИОСВ - </w:t>
      </w:r>
      <w:proofErr w:type="spellStart"/>
      <w:r w:rsidRPr="004E07F4">
        <w:rPr>
          <w:rFonts w:ascii="Times New Roman" w:hAnsi="Times New Roman"/>
          <w:color w:val="000000"/>
          <w:sz w:val="24"/>
          <w:szCs w:val="24"/>
          <w:lang w:val="ru-RU"/>
        </w:rPr>
        <w:t>Враца</w:t>
      </w:r>
      <w:proofErr w:type="spellEnd"/>
      <w:r w:rsidRPr="004E07F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E07F4">
        <w:rPr>
          <w:rFonts w:ascii="Times New Roman" w:hAnsi="Times New Roman"/>
          <w:color w:val="000000"/>
          <w:sz w:val="24"/>
          <w:szCs w:val="24"/>
          <w:lang w:val="ru-RU"/>
        </w:rPr>
        <w:t>съобщава</w:t>
      </w:r>
      <w:proofErr w:type="spellEnd"/>
      <w:r w:rsidRPr="004E07F4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4E07F4">
        <w:rPr>
          <w:rFonts w:ascii="Times New Roman" w:hAnsi="Times New Roman"/>
          <w:color w:val="000000"/>
          <w:sz w:val="24"/>
          <w:szCs w:val="24"/>
          <w:lang w:val="ru-RU"/>
        </w:rPr>
        <w:t>издадено</w:t>
      </w:r>
      <w:proofErr w:type="spellEnd"/>
      <w:r w:rsidRPr="004E07F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</w:t>
      </w:r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17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>.0</w:t>
      </w:r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20</w:t>
      </w:r>
      <w:r w:rsidRPr="00F0491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>6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г. Решение № ВР-</w:t>
      </w:r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3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-ЕО/20</w:t>
      </w:r>
      <w:r w:rsidRPr="00F0491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>6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г. за </w:t>
      </w:r>
      <w:proofErr w:type="spellStart"/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преценяване</w:t>
      </w:r>
      <w:proofErr w:type="spellEnd"/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необходимостта</w:t>
      </w:r>
      <w:proofErr w:type="spellEnd"/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</w:t>
      </w:r>
      <w:proofErr w:type="spellStart"/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извършва</w:t>
      </w:r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не</w:t>
      </w:r>
      <w:proofErr w:type="spellEnd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екологична</w:t>
      </w:r>
      <w:proofErr w:type="spellEnd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оценка (ЕО) за</w:t>
      </w:r>
      <w:r w:rsidR="00C04471">
        <w:rPr>
          <w:rFonts w:ascii="Times New Roman" w:hAnsi="Times New Roman"/>
          <w:color w:val="000000" w:themeColor="text1"/>
          <w:sz w:val="24"/>
          <w:szCs w:val="24"/>
          <w:lang w:val="ru-RU"/>
        </w:rPr>
        <w:t>:</w:t>
      </w:r>
      <w:bookmarkStart w:id="0" w:name="_GoBack"/>
      <w:bookmarkEnd w:id="0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„ПУП - ПРЗ за </w:t>
      </w:r>
      <w:proofErr w:type="spellStart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обособяване</w:t>
      </w:r>
      <w:proofErr w:type="spellEnd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нов УПИ I-55 "за ЖС и ОО" в нов кв. 2008 по </w:t>
      </w:r>
      <w:proofErr w:type="spellStart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имотните</w:t>
      </w:r>
      <w:proofErr w:type="spellEnd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граници</w:t>
      </w:r>
      <w:proofErr w:type="spellEnd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ПИ с идентификатор 37798.625.55, ИПУР за улица от O.T.I2 до O.T.I3 и ПУР за </w:t>
      </w:r>
      <w:proofErr w:type="spellStart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обособяване</w:t>
      </w:r>
      <w:proofErr w:type="spellEnd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нова улица от О.Т.З000 до О.Т.3002, </w:t>
      </w:r>
      <w:proofErr w:type="spellStart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съгласно</w:t>
      </w:r>
      <w:proofErr w:type="spellEnd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действащите</w:t>
      </w:r>
      <w:proofErr w:type="spellEnd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регулационен</w:t>
      </w:r>
      <w:proofErr w:type="spellEnd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план и </w:t>
      </w:r>
      <w:proofErr w:type="spellStart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кадастрална</w:t>
      </w:r>
      <w:proofErr w:type="spellEnd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карта на гр. </w:t>
      </w:r>
      <w:proofErr w:type="spellStart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Козлодуй</w:t>
      </w:r>
      <w:proofErr w:type="spellEnd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“ за „</w:t>
      </w:r>
      <w:proofErr w:type="spellStart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Жилищно</w:t>
      </w:r>
      <w:proofErr w:type="spellEnd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строителство</w:t>
      </w:r>
      <w:proofErr w:type="spellEnd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“,  с </w:t>
      </w:r>
      <w:proofErr w:type="spellStart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възложител</w:t>
      </w:r>
      <w:proofErr w:type="spellEnd"/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: «ЕА ИНВЕСТМЪНТ» ЕООД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да не се извършва екологична оценка. </w:t>
      </w:r>
    </w:p>
    <w:p w:rsidR="00AA1230" w:rsidRPr="00F04911" w:rsidRDefault="00AA1230" w:rsidP="00AA1230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Решението е поставено на обществен достъп на информационното табло на РИОСВ- Враца на </w:t>
      </w:r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>17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>.0</w:t>
      </w:r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>.20</w:t>
      </w:r>
      <w:r w:rsidRPr="00F0491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>6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г. за период от 14 дни. </w:t>
      </w:r>
    </w:p>
    <w:p w:rsidR="00AA1230" w:rsidRPr="00F04911" w:rsidRDefault="00AA1230" w:rsidP="00AA1230">
      <w:pPr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  <w:t xml:space="preserve">Решението се намира и в дирекция “КПД”, направление “ЕО и ОВОС”. </w:t>
      </w:r>
      <w:proofErr w:type="spellStart"/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Достъпът</w:t>
      </w:r>
      <w:proofErr w:type="spellEnd"/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до него е по </w:t>
      </w:r>
      <w:proofErr w:type="spellStart"/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реда</w:t>
      </w:r>
      <w:proofErr w:type="spellEnd"/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Закона за </w:t>
      </w:r>
      <w:proofErr w:type="spellStart"/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достъп</w:t>
      </w:r>
      <w:proofErr w:type="spellEnd"/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обществена</w:t>
      </w:r>
      <w:proofErr w:type="spellEnd"/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информация.</w:t>
      </w:r>
    </w:p>
    <w:p w:rsidR="00AA1230" w:rsidRPr="00F04911" w:rsidRDefault="00AA1230" w:rsidP="00AA1230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A1230" w:rsidRPr="00F04911" w:rsidRDefault="00AA1230" w:rsidP="00AA1230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  <w:t>/</w:t>
      </w:r>
      <w:proofErr w:type="spellStart"/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публикувано</w:t>
      </w:r>
      <w:proofErr w:type="spellEnd"/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</w:t>
      </w:r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17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.0</w:t>
      </w:r>
      <w:r w:rsidR="00F04911"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2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.20</w:t>
      </w:r>
      <w:r w:rsidRPr="00F0491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6 </w:t>
      </w:r>
      <w:r w:rsidRPr="00F04911">
        <w:rPr>
          <w:rFonts w:ascii="Times New Roman" w:hAnsi="Times New Roman"/>
          <w:color w:val="000000" w:themeColor="text1"/>
          <w:sz w:val="24"/>
          <w:szCs w:val="24"/>
          <w:lang w:val="ru-RU"/>
        </w:rPr>
        <w:t>г./</w:t>
      </w:r>
    </w:p>
    <w:p w:rsidR="00AA1230" w:rsidRPr="004E07F4" w:rsidRDefault="00AA1230" w:rsidP="00AA1230">
      <w:pPr>
        <w:ind w:firstLine="7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A1230" w:rsidRDefault="00AA1230" w:rsidP="00AA1230">
      <w:pPr>
        <w:overflowPunct/>
        <w:autoSpaceDE/>
        <w:autoSpaceDN/>
        <w:adjustRightInd/>
        <w:spacing w:line="270" w:lineRule="atLeast"/>
        <w:jc w:val="both"/>
        <w:textAlignment w:val="auto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AA1230" w:rsidRDefault="00AA1230" w:rsidP="00AA1230">
      <w:pPr>
        <w:overflowPunct/>
        <w:autoSpaceDE/>
        <w:autoSpaceDN/>
        <w:adjustRightInd/>
        <w:spacing w:line="270" w:lineRule="atLeast"/>
        <w:jc w:val="both"/>
        <w:textAlignment w:val="auto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AA1230" w:rsidRDefault="00AA1230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AA1230" w:rsidRDefault="00AA1230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AA1230" w:rsidRDefault="00AA1230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sectPr w:rsidR="00AA1230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769" w:rsidRDefault="00416769">
      <w:r>
        <w:separator/>
      </w:r>
    </w:p>
  </w:endnote>
  <w:endnote w:type="continuationSeparator" w:id="0">
    <w:p w:rsidR="00416769" w:rsidRDefault="0041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AA123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AA123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Footer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7E0D89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769" w:rsidRDefault="00416769">
      <w:r>
        <w:separator/>
      </w:r>
    </w:p>
  </w:footnote>
  <w:footnote w:type="continuationSeparator" w:id="0">
    <w:p w:rsidR="00416769" w:rsidRDefault="00416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Heading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441F5A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018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A032E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1F1B"/>
    <w:rsid w:val="002E25EF"/>
    <w:rsid w:val="002F7889"/>
    <w:rsid w:val="00324274"/>
    <w:rsid w:val="00352F4E"/>
    <w:rsid w:val="00377B7B"/>
    <w:rsid w:val="003A2792"/>
    <w:rsid w:val="003A2A77"/>
    <w:rsid w:val="003A7996"/>
    <w:rsid w:val="003B30BB"/>
    <w:rsid w:val="003D4054"/>
    <w:rsid w:val="003D4A6B"/>
    <w:rsid w:val="003E0719"/>
    <w:rsid w:val="00415A47"/>
    <w:rsid w:val="00416769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802"/>
    <w:rsid w:val="00542B66"/>
    <w:rsid w:val="0056135E"/>
    <w:rsid w:val="0057056E"/>
    <w:rsid w:val="005A18F4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5E9C"/>
    <w:rsid w:val="006B0B9A"/>
    <w:rsid w:val="006B2EEB"/>
    <w:rsid w:val="006B51F0"/>
    <w:rsid w:val="006D21A3"/>
    <w:rsid w:val="006E1608"/>
    <w:rsid w:val="006E7677"/>
    <w:rsid w:val="006F3F56"/>
    <w:rsid w:val="007005C0"/>
    <w:rsid w:val="0073004C"/>
    <w:rsid w:val="00735898"/>
    <w:rsid w:val="007550EB"/>
    <w:rsid w:val="0076286A"/>
    <w:rsid w:val="007653DF"/>
    <w:rsid w:val="007719EF"/>
    <w:rsid w:val="00772484"/>
    <w:rsid w:val="007777F3"/>
    <w:rsid w:val="007A6290"/>
    <w:rsid w:val="007B5CDD"/>
    <w:rsid w:val="00810CB7"/>
    <w:rsid w:val="00836DEF"/>
    <w:rsid w:val="00842F0C"/>
    <w:rsid w:val="008516CB"/>
    <w:rsid w:val="0085348A"/>
    <w:rsid w:val="00854FC5"/>
    <w:rsid w:val="008719BB"/>
    <w:rsid w:val="00876767"/>
    <w:rsid w:val="008B0206"/>
    <w:rsid w:val="008B1300"/>
    <w:rsid w:val="008D74B9"/>
    <w:rsid w:val="00936425"/>
    <w:rsid w:val="00946D85"/>
    <w:rsid w:val="00947AE4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E1D29"/>
    <w:rsid w:val="009E7D8E"/>
    <w:rsid w:val="009F0994"/>
    <w:rsid w:val="00A671F2"/>
    <w:rsid w:val="00AA1230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B1E2A"/>
    <w:rsid w:val="00BC78B7"/>
    <w:rsid w:val="00BF4655"/>
    <w:rsid w:val="00C00904"/>
    <w:rsid w:val="00C02136"/>
    <w:rsid w:val="00C04471"/>
    <w:rsid w:val="00C17B63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C2513"/>
    <w:rsid w:val="00E15B5B"/>
    <w:rsid w:val="00E344E2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F04911"/>
    <w:rsid w:val="00F06738"/>
    <w:rsid w:val="00F133D0"/>
    <w:rsid w:val="00F25365"/>
    <w:rsid w:val="00F72CF1"/>
    <w:rsid w:val="00F82768"/>
    <w:rsid w:val="00F85505"/>
    <w:rsid w:val="00FA2CCA"/>
    <w:rsid w:val="00FC1048"/>
    <w:rsid w:val="00FC43AE"/>
    <w:rsid w:val="00FD27F4"/>
    <w:rsid w:val="00FD600D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C9F17A"/>
  <w15:docId w15:val="{29522B6D-8248-41AB-8944-176EEB3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Normal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BalloonText">
    <w:name w:val="Balloon Text"/>
    <w:basedOn w:val="Normal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NormalIndent">
    <w:name w:val="Normal Indent"/>
    <w:basedOn w:val="Normal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FooterChar">
    <w:name w:val="Footer Char"/>
    <w:link w:val="Footer"/>
    <w:uiPriority w:val="99"/>
    <w:rsid w:val="00FC104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DCBCF-4762-47A8-A9D1-68C34732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Ivka Neseva</cp:lastModifiedBy>
  <cp:revision>7</cp:revision>
  <cp:lastPrinted>2024-10-25T12:53:00Z</cp:lastPrinted>
  <dcterms:created xsi:type="dcterms:W3CDTF">2025-12-15T10:46:00Z</dcterms:created>
  <dcterms:modified xsi:type="dcterms:W3CDTF">2026-02-17T13:49:00Z</dcterms:modified>
</cp:coreProperties>
</file>