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151CF1" w:rsidRDefault="00151CF1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КРАТКА ОБОБЩЕНА СПРАВКА ЗА КОНТРОЛНАТА ДЕЙНОСТ НА </w:t>
      </w: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РИОСВ-ВРАЦА</w:t>
      </w:r>
    </w:p>
    <w:p w:rsidR="003D2239" w:rsidRPr="00B52802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D2239" w:rsidRPr="00A01BE2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Период </w:t>
      </w:r>
      <w:r>
        <w:rPr>
          <w:rFonts w:ascii="Times New Roman" w:hAnsi="Times New Roman"/>
          <w:b/>
          <w:sz w:val="24"/>
          <w:szCs w:val="24"/>
          <w:lang w:val="bg-BG"/>
        </w:rPr>
        <w:t>01.0</w:t>
      </w:r>
      <w:r w:rsidR="005129CE">
        <w:rPr>
          <w:rFonts w:ascii="Times New Roman" w:hAnsi="Times New Roman"/>
          <w:b/>
          <w:sz w:val="24"/>
          <w:szCs w:val="24"/>
          <w:lang w:val="bg-BG"/>
        </w:rPr>
        <w:t>3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.2026 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>г.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129CE">
        <w:rPr>
          <w:rFonts w:ascii="Times New Roman" w:hAnsi="Times New Roman"/>
          <w:b/>
          <w:sz w:val="24"/>
          <w:szCs w:val="24"/>
          <w:lang w:val="bg-BG"/>
        </w:rPr>
        <w:t>31.03</w:t>
      </w:r>
      <w:r>
        <w:rPr>
          <w:rFonts w:ascii="Times New Roman" w:hAnsi="Times New Roman"/>
          <w:b/>
          <w:sz w:val="24"/>
          <w:szCs w:val="24"/>
          <w:lang w:val="bg-BG"/>
        </w:rPr>
        <w:t>.2026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125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95"/>
        <w:gridCol w:w="693"/>
        <w:gridCol w:w="832"/>
        <w:gridCol w:w="555"/>
        <w:gridCol w:w="557"/>
        <w:gridCol w:w="831"/>
        <w:gridCol w:w="1250"/>
        <w:gridCol w:w="835"/>
        <w:gridCol w:w="831"/>
        <w:gridCol w:w="555"/>
        <w:gridCol w:w="972"/>
        <w:gridCol w:w="1111"/>
        <w:gridCol w:w="975"/>
        <w:gridCol w:w="6"/>
      </w:tblGrid>
      <w:tr w:rsidR="003D2239" w:rsidRPr="00666100" w:rsidTr="002E3A12">
        <w:trPr>
          <w:trHeight w:val="327"/>
        </w:trPr>
        <w:tc>
          <w:tcPr>
            <w:tcW w:w="11253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3D2239" w:rsidRPr="00F2414C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ПРЕДПРИЕТИ АДМИНИСТРАТИВНО НАКАЗАТЕЛНИ МЕРКИ ОТ РИОСВ-ВРАЦА ПРЕЗ МЕСЕЦ</w:t>
            </w:r>
            <w:r>
              <w:rPr>
                <w:rFonts w:ascii="Times New Roman" w:hAnsi="Times New Roman"/>
                <w:b/>
                <w:bCs/>
                <w:i/>
                <w:iCs/>
                <w:lang w:eastAsia="bg-BG"/>
              </w:rPr>
              <w:t xml:space="preserve"> </w:t>
            </w:r>
            <w:r w:rsidR="005129CE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МАРТ</w:t>
            </w:r>
          </w:p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2026г</w:t>
            </w: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.</w:t>
            </w:r>
          </w:p>
        </w:tc>
      </w:tr>
      <w:tr w:rsidR="003D2239" w:rsidRPr="00666100" w:rsidTr="002E3A12">
        <w:trPr>
          <w:gridAfter w:val="1"/>
          <w:wAfter w:w="6" w:type="dxa"/>
          <w:trHeight w:val="209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проверени обекти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извършени проверки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съставени актове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актове за неизпълнение на дадени предписания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отменени актове с резолюция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издадени наказателни постановления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събрани суми от имуществени санкции и глоби 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Сключени споразумения между наказващия орган и нарушителя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наложени санкции с НП по чл. 69 от ЗООС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събрани суми от еднократни и текущи санкции (чл. 69 от ЗООС)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ПАМ</w:t>
            </w:r>
          </w:p>
        </w:tc>
      </w:tr>
      <w:tr w:rsidR="003D2239" w:rsidRPr="00E4471C" w:rsidTr="002E3A12">
        <w:trPr>
          <w:gridAfter w:val="1"/>
          <w:wAfter w:w="6" w:type="dxa"/>
          <w:trHeight w:val="43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 xml:space="preserve">брой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 брой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F7298B" w:rsidRDefault="001F0854" w:rsidP="001F0854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евро          лв.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</w:t>
            </w:r>
          </w:p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</w:p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7298B" w:rsidRDefault="001F0854" w:rsidP="001F0854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евро        лв.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</w:tr>
      <w:tr w:rsidR="003D2239" w:rsidRPr="009049BB" w:rsidTr="002E3A12">
        <w:trPr>
          <w:gridAfter w:val="1"/>
          <w:wAfter w:w="6" w:type="dxa"/>
          <w:trHeight w:val="523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2239" w:rsidRPr="0066474F" w:rsidRDefault="0066474F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54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66474F" w:rsidRDefault="0066474F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2239" w:rsidRPr="0066474F" w:rsidRDefault="0066474F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66474F" w:rsidRDefault="0066474F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2239" w:rsidRPr="0066474F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66474F" w:rsidRDefault="003D2239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 w:eastAsia="bg-BG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2239" w:rsidRPr="0066474F" w:rsidRDefault="003D2239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66474F" w:rsidRDefault="001F0854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D2239" w:rsidRPr="0066474F" w:rsidRDefault="001F0854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D2239" w:rsidRPr="0066474F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3D2239" w:rsidRPr="0066474F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66474F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66474F" w:rsidRDefault="0066474F" w:rsidP="0066474F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530,99 лв.</w:t>
            </w:r>
            <w:r w:rsidR="001F0854" w:rsidRPr="0066474F">
              <w:rPr>
                <w:rFonts w:ascii="Times New Roman" w:hAnsi="Times New Roman"/>
                <w:b/>
                <w:bCs/>
                <w:i/>
                <w:lang w:val="bg-BG"/>
              </w:rPr>
              <w:t xml:space="preserve">    </w:t>
            </w: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271,49 евро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66474F" w:rsidRDefault="003D2239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66474F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</w:tr>
    </w:tbl>
    <w:p w:rsidR="003D2239" w:rsidRPr="009049BB" w:rsidRDefault="003D2239" w:rsidP="003D223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31C6" w:rsidRPr="00A75CB5" w:rsidRDefault="001E31C6" w:rsidP="001E31C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A43B8">
        <w:rPr>
          <w:rFonts w:ascii="Times New Roman" w:hAnsi="Times New Roman"/>
          <w:sz w:val="24"/>
          <w:szCs w:val="24"/>
          <w:lang w:val="bg-BG"/>
        </w:rPr>
        <w:t xml:space="preserve">През месец  март от експертите на РИОСВ-Враца са извършени общо </w:t>
      </w:r>
      <w:r w:rsidRPr="00B618D5">
        <w:rPr>
          <w:rFonts w:ascii="Times New Roman" w:hAnsi="Times New Roman"/>
          <w:sz w:val="24"/>
          <w:szCs w:val="24"/>
          <w:lang w:val="bg-BG"/>
        </w:rPr>
        <w:t xml:space="preserve">57 бр. проверки, като са проверени 54 обекта, извършващи дейност на територията на област Враца. От извършените проверки </w:t>
      </w:r>
      <w:r w:rsidRPr="00516E52">
        <w:rPr>
          <w:rFonts w:ascii="Times New Roman" w:hAnsi="Times New Roman"/>
          <w:sz w:val="24"/>
          <w:szCs w:val="24"/>
          <w:lang w:val="bg-BG"/>
        </w:rPr>
        <w:t xml:space="preserve">48 броя са планирана с годишния план за контролна дейност и 9 броя са извънредни. Извършени </w:t>
      </w:r>
      <w:r w:rsidRPr="00A75CB5">
        <w:rPr>
          <w:rFonts w:ascii="Times New Roman" w:hAnsi="Times New Roman"/>
          <w:sz w:val="24"/>
          <w:szCs w:val="24"/>
          <w:lang w:val="bg-BG"/>
        </w:rPr>
        <w:t>са 2 бр. проверки по постъпили в инспекцията сигнали.</w:t>
      </w:r>
    </w:p>
    <w:p w:rsidR="001E31C6" w:rsidRPr="0060325E" w:rsidRDefault="001E31C6" w:rsidP="001E31C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0325E">
        <w:rPr>
          <w:rFonts w:ascii="Times New Roman" w:hAnsi="Times New Roman"/>
          <w:sz w:val="24"/>
          <w:szCs w:val="24"/>
          <w:lang w:val="bg-BG"/>
        </w:rPr>
        <w:t xml:space="preserve">Осъществен е последващ контрол по изпълнение на 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60325E">
        <w:rPr>
          <w:rFonts w:ascii="Times New Roman" w:hAnsi="Times New Roman"/>
          <w:sz w:val="24"/>
          <w:szCs w:val="24"/>
          <w:lang w:val="bg-BG"/>
        </w:rPr>
        <w:t xml:space="preserve"> бр. предписания, дадени за привеждане дейността на обектите в съответствие с нормативните изисквания.</w:t>
      </w:r>
    </w:p>
    <w:p w:rsidR="001E31C6" w:rsidRPr="00E94AAD" w:rsidRDefault="001E31C6" w:rsidP="001E31C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94AAD">
        <w:rPr>
          <w:rFonts w:ascii="Times New Roman" w:hAnsi="Times New Roman"/>
          <w:sz w:val="24"/>
          <w:szCs w:val="24"/>
          <w:lang w:val="bg-BG"/>
        </w:rPr>
        <w:t xml:space="preserve">През отчетния период с </w:t>
      </w:r>
      <w:r>
        <w:rPr>
          <w:rFonts w:ascii="Times New Roman" w:hAnsi="Times New Roman"/>
          <w:sz w:val="24"/>
          <w:szCs w:val="24"/>
          <w:lang w:val="bg-BG"/>
        </w:rPr>
        <w:t>констативни протоколи</w:t>
      </w:r>
      <w:r w:rsidRPr="00E94AAD">
        <w:rPr>
          <w:rFonts w:ascii="Times New Roman" w:hAnsi="Times New Roman"/>
          <w:sz w:val="24"/>
          <w:szCs w:val="24"/>
          <w:lang w:val="bg-BG"/>
        </w:rPr>
        <w:t xml:space="preserve"> са дадени общо 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E94AAD">
        <w:rPr>
          <w:rFonts w:ascii="Times New Roman" w:hAnsi="Times New Roman"/>
          <w:sz w:val="24"/>
          <w:szCs w:val="24"/>
          <w:lang w:val="bg-BG"/>
        </w:rPr>
        <w:t xml:space="preserve"> бр. предписания. </w:t>
      </w:r>
    </w:p>
    <w:p w:rsidR="001E31C6" w:rsidRPr="00CD450E" w:rsidRDefault="001E31C6" w:rsidP="001E31C6">
      <w:pPr>
        <w:tabs>
          <w:tab w:val="left" w:pos="1230"/>
        </w:tabs>
        <w:ind w:firstLine="567"/>
        <w:jc w:val="both"/>
        <w:rPr>
          <w:rFonts w:ascii="Times New Roman" w:hAnsi="Times New Roman"/>
          <w:color w:val="FF0000"/>
          <w:sz w:val="24"/>
          <w:szCs w:val="24"/>
          <w:lang w:val="bg-BG" w:eastAsia="bg-BG"/>
        </w:rPr>
      </w:pPr>
    </w:p>
    <w:p w:rsidR="001E31C6" w:rsidRPr="00610AE7" w:rsidRDefault="001E31C6" w:rsidP="001E31C6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0AE7">
        <w:rPr>
          <w:rFonts w:ascii="Times New Roman" w:hAnsi="Times New Roman"/>
          <w:sz w:val="24"/>
          <w:szCs w:val="24"/>
          <w:lang w:val="bg-BG"/>
        </w:rPr>
        <w:t>Основните акценти в контролната дейност на РИОСВ-Враца през периода са:</w:t>
      </w:r>
    </w:p>
    <w:p w:rsidR="001E31C6" w:rsidRPr="001008E6" w:rsidRDefault="001E31C6" w:rsidP="001E31C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31CC8">
        <w:rPr>
          <w:rFonts w:ascii="Times New Roman" w:hAnsi="Times New Roman"/>
          <w:sz w:val="24"/>
          <w:szCs w:val="24"/>
          <w:lang w:val="bg-BG"/>
        </w:rPr>
        <w:t>Изпълнение  на Годишен план за контролна дейност за 202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531CC8">
        <w:rPr>
          <w:rFonts w:ascii="Times New Roman" w:hAnsi="Times New Roman"/>
          <w:sz w:val="24"/>
          <w:szCs w:val="24"/>
          <w:lang w:val="bg-BG"/>
        </w:rPr>
        <w:t xml:space="preserve"> г.;</w:t>
      </w:r>
    </w:p>
    <w:p w:rsidR="001E31C6" w:rsidRPr="00F64E13" w:rsidRDefault="001E31C6" w:rsidP="001E31C6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64E13">
        <w:rPr>
          <w:rFonts w:ascii="Times New Roman" w:hAnsi="Times New Roman"/>
          <w:sz w:val="24"/>
          <w:szCs w:val="24"/>
          <w:lang w:val="bg-BG"/>
        </w:rPr>
        <w:t xml:space="preserve">Приоритетно са извършени проверки по жалби и сигнали на граждани – 2 бр.; </w:t>
      </w:r>
    </w:p>
    <w:p w:rsidR="001E31C6" w:rsidRPr="00F64E13" w:rsidRDefault="001E31C6" w:rsidP="001E31C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F64E13">
        <w:rPr>
          <w:rFonts w:ascii="Times New Roman" w:hAnsi="Times New Roman"/>
          <w:sz w:val="24"/>
          <w:szCs w:val="24"/>
          <w:lang w:val="bg-BG"/>
        </w:rPr>
        <w:t>Осъществен е последващ контрол по изпълнение на предписания, дадени за привеждане дейността на обектите в съответствие с нормативните изисквания – 3 бр.;</w:t>
      </w:r>
    </w:p>
    <w:p w:rsidR="001E31C6" w:rsidRPr="00F64E13" w:rsidRDefault="001E31C6" w:rsidP="001E31C6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64E13">
        <w:rPr>
          <w:rFonts w:ascii="Times New Roman" w:hAnsi="Times New Roman"/>
          <w:sz w:val="24"/>
          <w:szCs w:val="24"/>
          <w:lang w:val="bg-BG"/>
        </w:rPr>
        <w:t>Осъществени комплексни проверки на обекти подлежащи на контрол по два и повече  компоненти и фактори на околната среда – 4 бр.;</w:t>
      </w:r>
    </w:p>
    <w:p w:rsidR="001E31C6" w:rsidRPr="00F64E13" w:rsidRDefault="001E31C6" w:rsidP="001E31C6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64E13">
        <w:rPr>
          <w:rFonts w:ascii="Times New Roman" w:hAnsi="Times New Roman"/>
          <w:sz w:val="24"/>
          <w:szCs w:val="24"/>
          <w:lang w:val="bg-BG"/>
        </w:rPr>
        <w:t>Извършени проверки по прилагане на Наредбата за ограничаване емисиите на летливи органични съединения при съхранение, товарене или разтоварване и превоз на бензини – 5 бр.;</w:t>
      </w:r>
    </w:p>
    <w:p w:rsidR="001E31C6" w:rsidRPr="00F64E13" w:rsidRDefault="001E31C6" w:rsidP="001E31C6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64E13">
        <w:rPr>
          <w:rFonts w:ascii="Times New Roman" w:hAnsi="Times New Roman"/>
          <w:sz w:val="24"/>
          <w:szCs w:val="24"/>
          <w:lang w:val="bg-BG"/>
        </w:rPr>
        <w:lastRenderedPageBreak/>
        <w:t>Извършени проверки по прилагане на Регламент 1005/2008 относно веществата които нарушават озоновия слой и Регламент 517/2014 за флуорсъдържащи парникови газове – 6 бр.;</w:t>
      </w:r>
    </w:p>
    <w:p w:rsidR="001E31C6" w:rsidRDefault="001E31C6" w:rsidP="001E31C6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F64E13">
        <w:rPr>
          <w:rFonts w:ascii="Times New Roman" w:hAnsi="Times New Roman"/>
          <w:sz w:val="24"/>
          <w:szCs w:val="24"/>
          <w:lang w:val="bg-BG"/>
        </w:rPr>
        <w:t>Извършени проверки по прилагане нормативнит</w:t>
      </w:r>
      <w:r>
        <w:rPr>
          <w:rFonts w:ascii="Times New Roman" w:hAnsi="Times New Roman"/>
          <w:sz w:val="24"/>
          <w:szCs w:val="24"/>
          <w:lang w:val="bg-BG"/>
        </w:rPr>
        <w:t>е изисквания на Закона  за управ</w:t>
      </w:r>
      <w:r w:rsidRPr="00F64E13">
        <w:rPr>
          <w:rFonts w:ascii="Times New Roman" w:hAnsi="Times New Roman"/>
          <w:sz w:val="24"/>
          <w:szCs w:val="24"/>
          <w:lang w:val="bg-BG"/>
        </w:rPr>
        <w:t>ление на отпадъците – 2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F64E13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1E31C6" w:rsidRPr="00F64E13" w:rsidRDefault="001E31C6" w:rsidP="001E31C6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Извършени проверки по Закона за биологичното разнообразие на вековни дървета – 8 бр.;</w:t>
      </w:r>
    </w:p>
    <w:p w:rsidR="001E31C6" w:rsidRPr="00F64E13" w:rsidRDefault="001E31C6" w:rsidP="001E31C6">
      <w:pPr>
        <w:numPr>
          <w:ilvl w:val="0"/>
          <w:numId w:val="2"/>
        </w:num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E13">
        <w:rPr>
          <w:rFonts w:ascii="Times New Roman" w:hAnsi="Times New Roman"/>
          <w:sz w:val="24"/>
          <w:szCs w:val="24"/>
          <w:lang w:val="bg-BG"/>
        </w:rPr>
        <w:t>Проведени мероприятия за Световния ден на водата 202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F64E13">
        <w:rPr>
          <w:rFonts w:ascii="Times New Roman" w:hAnsi="Times New Roman"/>
          <w:sz w:val="24"/>
          <w:szCs w:val="24"/>
          <w:lang w:val="bg-BG"/>
        </w:rPr>
        <w:t xml:space="preserve"> г.;</w:t>
      </w:r>
    </w:p>
    <w:p w:rsidR="001E31C6" w:rsidRPr="00F64E13" w:rsidRDefault="001E31C6" w:rsidP="001E31C6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F64E13">
        <w:rPr>
          <w:rFonts w:ascii="Times New Roman" w:hAnsi="Times New Roman"/>
          <w:sz w:val="24"/>
          <w:szCs w:val="24"/>
          <w:lang w:val="bg-BG"/>
        </w:rPr>
        <w:t xml:space="preserve">Взето е участие в 9 бр.  ДПК, </w:t>
      </w:r>
      <w:r w:rsidRPr="00F64E13">
        <w:rPr>
          <w:rFonts w:ascii="Times New Roman" w:hAnsi="Times New Roman"/>
          <w:sz w:val="24"/>
          <w:szCs w:val="24"/>
          <w:lang w:val="bg-BG" w:eastAsia="bg-BG"/>
        </w:rPr>
        <w:t>2 бр. обучение и 2</w:t>
      </w:r>
      <w:r w:rsidRPr="00F64E13">
        <w:rPr>
          <w:rFonts w:ascii="Times New Roman" w:hAnsi="Times New Roman"/>
          <w:sz w:val="24"/>
          <w:szCs w:val="24"/>
          <w:lang w:val="bg-BG"/>
        </w:rPr>
        <w:t xml:space="preserve"> бр. комисии</w:t>
      </w:r>
      <w:r w:rsidRPr="00F64E13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1F0854" w:rsidRDefault="001F0854" w:rsidP="002C17C5">
      <w:pPr>
        <w:pStyle w:val="ab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1E31C6" w:rsidRPr="00BF2396" w:rsidRDefault="001E31C6" w:rsidP="001E31C6">
      <w:pPr>
        <w:ind w:right="-36" w:firstLine="567"/>
        <w:jc w:val="both"/>
        <w:rPr>
          <w:rFonts w:ascii="Times New Roman" w:hAnsi="Times New Roman"/>
          <w:sz w:val="24"/>
          <w:szCs w:val="24"/>
        </w:rPr>
      </w:pPr>
      <w:r w:rsidRPr="00BF2396">
        <w:rPr>
          <w:rFonts w:ascii="Times New Roman" w:hAnsi="Times New Roman"/>
          <w:sz w:val="24"/>
          <w:szCs w:val="24"/>
        </w:rPr>
        <w:t>При анализ на регистрираните за м. март от Автоматична измервателна станция “ЖП Гара”- Враца, концентрации на контролираните показатели влияещи върху качеството на атмосферния въздух: фини прахови частици (ФПЧ</w:t>
      </w:r>
      <w:r w:rsidRPr="00BF2396">
        <w:rPr>
          <w:rFonts w:ascii="Times New Roman" w:hAnsi="Times New Roman"/>
          <w:sz w:val="24"/>
          <w:szCs w:val="24"/>
          <w:vertAlign w:val="subscript"/>
        </w:rPr>
        <w:t>10</w:t>
      </w:r>
      <w:r w:rsidRPr="00BF2396">
        <w:rPr>
          <w:rFonts w:ascii="Times New Roman" w:hAnsi="Times New Roman"/>
          <w:sz w:val="24"/>
          <w:szCs w:val="24"/>
        </w:rPr>
        <w:t xml:space="preserve">), серен диоксид, азотен диоксид, въглероден оксид и озон - не са установени превишения на допустимите норми. </w:t>
      </w:r>
    </w:p>
    <w:p w:rsidR="001E31C6" w:rsidRPr="00BF2396" w:rsidRDefault="001E31C6" w:rsidP="001E31C6">
      <w:pPr>
        <w:ind w:right="-36" w:firstLine="567"/>
        <w:jc w:val="both"/>
        <w:rPr>
          <w:rFonts w:ascii="Times New Roman" w:hAnsi="Times New Roman"/>
          <w:sz w:val="24"/>
          <w:szCs w:val="24"/>
        </w:rPr>
      </w:pPr>
      <w:r w:rsidRPr="00BF2396">
        <w:rPr>
          <w:rFonts w:ascii="Times New Roman" w:hAnsi="Times New Roman"/>
          <w:sz w:val="24"/>
          <w:szCs w:val="24"/>
        </w:rPr>
        <w:t>По технически причини от АИС „ЖП Гара”- Враца няма отчетени данни за ФПЧ</w:t>
      </w:r>
      <w:r w:rsidRPr="00BF2396">
        <w:rPr>
          <w:rFonts w:ascii="Times New Roman" w:hAnsi="Times New Roman"/>
          <w:sz w:val="24"/>
          <w:szCs w:val="24"/>
          <w:vertAlign w:val="subscript"/>
        </w:rPr>
        <w:t>10</w:t>
      </w:r>
      <w:r w:rsidRPr="00BF2396">
        <w:rPr>
          <w:rFonts w:ascii="Times New Roman" w:hAnsi="Times New Roman"/>
          <w:sz w:val="24"/>
          <w:szCs w:val="24"/>
        </w:rPr>
        <w:t xml:space="preserve"> за периода от 21:00 часа на 13.03.2026 г. до 09:00 часа на 19.03.2026 г.</w:t>
      </w:r>
    </w:p>
    <w:p w:rsidR="005D7A64" w:rsidRDefault="002C17C5" w:rsidP="005129CE">
      <w:pPr>
        <w:tabs>
          <w:tab w:val="left" w:pos="993"/>
        </w:tabs>
        <w:ind w:firstLine="567"/>
        <w:jc w:val="both"/>
        <w:rPr>
          <w:rFonts w:ascii="Times New Roman" w:hAnsi="Times New Roman"/>
          <w:lang w:val="bg-BG"/>
        </w:rPr>
      </w:pPr>
      <w:r w:rsidRPr="008D3FC3">
        <w:rPr>
          <w:rFonts w:ascii="Times New Roman" w:hAnsi="Times New Roman"/>
          <w:sz w:val="24"/>
          <w:szCs w:val="24"/>
        </w:rPr>
        <w:t xml:space="preserve">    </w:t>
      </w:r>
    </w:p>
    <w:p w:rsidR="001E31C6" w:rsidRPr="004305EA" w:rsidRDefault="001E31C6" w:rsidP="001E31C6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305EA">
        <w:rPr>
          <w:rFonts w:ascii="Times New Roman" w:hAnsi="Times New Roman"/>
          <w:color w:val="000000"/>
          <w:sz w:val="24"/>
          <w:szCs w:val="24"/>
        </w:rPr>
        <w:t xml:space="preserve">През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отчетния период</w:t>
      </w:r>
      <w:r w:rsidRPr="004305EA">
        <w:rPr>
          <w:rFonts w:ascii="Times New Roman" w:hAnsi="Times New Roman"/>
          <w:color w:val="000000"/>
          <w:sz w:val="24"/>
          <w:szCs w:val="24"/>
        </w:rPr>
        <w:t xml:space="preserve"> в инспекцията са внесени: </w:t>
      </w:r>
    </w:p>
    <w:p w:rsidR="001E31C6" w:rsidRPr="004305EA" w:rsidRDefault="001E31C6" w:rsidP="001E31C6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305EA">
        <w:rPr>
          <w:rFonts w:ascii="Times New Roman" w:hAnsi="Times New Roman"/>
          <w:color w:val="000000"/>
          <w:sz w:val="24"/>
          <w:szCs w:val="24"/>
        </w:rPr>
        <w:t xml:space="preserve"> - общо </w:t>
      </w:r>
      <w:r w:rsidRPr="004305EA">
        <w:rPr>
          <w:rFonts w:ascii="Times New Roman" w:hAnsi="Times New Roman"/>
          <w:sz w:val="24"/>
          <w:szCs w:val="24"/>
        </w:rPr>
        <w:t>40</w:t>
      </w:r>
      <w:r w:rsidRPr="004305EA">
        <w:rPr>
          <w:rFonts w:ascii="Times New Roman" w:hAnsi="Times New Roman"/>
          <w:color w:val="000000"/>
          <w:sz w:val="24"/>
          <w:szCs w:val="24"/>
        </w:rPr>
        <w:t xml:space="preserve"> бр. Уведомления за инвестиционни предложения, от които: </w:t>
      </w:r>
    </w:p>
    <w:p w:rsidR="001E31C6" w:rsidRPr="004305EA" w:rsidRDefault="001E31C6" w:rsidP="001E31C6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305EA">
        <w:rPr>
          <w:rFonts w:ascii="Times New Roman" w:hAnsi="Times New Roman"/>
          <w:color w:val="000000"/>
          <w:sz w:val="24"/>
          <w:szCs w:val="24"/>
        </w:rPr>
        <w:t xml:space="preserve"> - Уведомления за инвестиционни предложения, подлежащи на процедура по реда на глава шеста на ЗООС – </w:t>
      </w:r>
      <w:r w:rsidRPr="004305EA">
        <w:rPr>
          <w:rFonts w:ascii="Times New Roman" w:hAnsi="Times New Roman"/>
          <w:sz w:val="24"/>
          <w:szCs w:val="24"/>
        </w:rPr>
        <w:t>6</w:t>
      </w:r>
      <w:r w:rsidRPr="004305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305EA">
        <w:rPr>
          <w:rFonts w:ascii="Times New Roman" w:hAnsi="Times New Roman"/>
          <w:color w:val="000000"/>
          <w:sz w:val="24"/>
          <w:szCs w:val="24"/>
        </w:rPr>
        <w:t xml:space="preserve">бр. </w:t>
      </w:r>
    </w:p>
    <w:p w:rsidR="001E31C6" w:rsidRPr="004305EA" w:rsidRDefault="001E31C6" w:rsidP="001E31C6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305EA">
        <w:rPr>
          <w:rFonts w:ascii="Times New Roman" w:hAnsi="Times New Roman"/>
          <w:color w:val="000000"/>
          <w:sz w:val="24"/>
          <w:szCs w:val="24"/>
        </w:rPr>
        <w:t xml:space="preserve">- Искане за преценяване на необходимостта от извършване на ОВОС – </w:t>
      </w:r>
      <w:r w:rsidRPr="004305EA">
        <w:rPr>
          <w:rFonts w:ascii="Times New Roman" w:hAnsi="Times New Roman"/>
          <w:sz w:val="24"/>
          <w:szCs w:val="24"/>
        </w:rPr>
        <w:t>8</w:t>
      </w:r>
      <w:r w:rsidRPr="004305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305EA">
        <w:rPr>
          <w:rFonts w:ascii="Times New Roman" w:hAnsi="Times New Roman"/>
          <w:color w:val="000000"/>
          <w:sz w:val="24"/>
          <w:szCs w:val="24"/>
        </w:rPr>
        <w:t xml:space="preserve">бр. </w:t>
      </w:r>
    </w:p>
    <w:p w:rsidR="001E31C6" w:rsidRPr="004305EA" w:rsidRDefault="001E31C6" w:rsidP="001E31C6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Издадени са</w:t>
      </w:r>
      <w:r w:rsidRPr="004305EA">
        <w:rPr>
          <w:rFonts w:ascii="Times New Roman" w:hAnsi="Times New Roman"/>
          <w:color w:val="000000"/>
          <w:sz w:val="24"/>
          <w:szCs w:val="24"/>
        </w:rPr>
        <w:t>:</w:t>
      </w:r>
    </w:p>
    <w:p w:rsidR="001E31C6" w:rsidRPr="004305EA" w:rsidRDefault="001E31C6" w:rsidP="001E31C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305EA">
        <w:rPr>
          <w:rFonts w:ascii="Times New Roman" w:hAnsi="Times New Roman"/>
          <w:color w:val="000000"/>
          <w:sz w:val="24"/>
          <w:szCs w:val="24"/>
        </w:rPr>
        <w:t xml:space="preserve">- Решения за преценяване на необходимостта от извършване на ОВОС, с характер на решенията „да не се извършва ОВОС” </w:t>
      </w:r>
      <w:r w:rsidRPr="004305EA">
        <w:rPr>
          <w:rFonts w:ascii="Times New Roman" w:hAnsi="Times New Roman"/>
          <w:sz w:val="24"/>
          <w:szCs w:val="24"/>
        </w:rPr>
        <w:t>– 9 бр.</w:t>
      </w:r>
    </w:p>
    <w:p w:rsidR="001E31C6" w:rsidRPr="004305EA" w:rsidRDefault="001E31C6" w:rsidP="001E31C6">
      <w:pPr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4305EA">
        <w:rPr>
          <w:rFonts w:ascii="Times New Roman" w:hAnsi="Times New Roman"/>
          <w:color w:val="000000"/>
          <w:sz w:val="24"/>
          <w:szCs w:val="24"/>
        </w:rPr>
        <w:t>- Решения за преценяване на необходимостта от извършване на ЕО, с характер на решенията „да не се извършва ЕО” – 1</w:t>
      </w:r>
      <w:r w:rsidRPr="004305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305EA">
        <w:rPr>
          <w:rFonts w:ascii="Times New Roman" w:hAnsi="Times New Roman"/>
          <w:sz w:val="24"/>
          <w:szCs w:val="24"/>
        </w:rPr>
        <w:t>бр.</w:t>
      </w:r>
      <w:r w:rsidRPr="004305EA"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1E31C6" w:rsidRPr="004305EA" w:rsidRDefault="001E31C6" w:rsidP="001E31C6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305EA">
        <w:rPr>
          <w:rFonts w:ascii="Times New Roman" w:hAnsi="Times New Roman"/>
          <w:color w:val="000000"/>
          <w:sz w:val="24"/>
          <w:szCs w:val="24"/>
        </w:rPr>
        <w:t>За периода са изготвени общо 85</w:t>
      </w:r>
      <w:r w:rsidRPr="004305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305EA">
        <w:rPr>
          <w:rFonts w:ascii="Times New Roman" w:hAnsi="Times New Roman"/>
          <w:color w:val="000000"/>
          <w:sz w:val="24"/>
          <w:szCs w:val="24"/>
        </w:rPr>
        <w:t>броя писма до възложителите, в хода на процедурите по ОВОС и ЕО и във връзка с тяхното провеждане, както и в оперативния порядък на изпълнение на заложените цели по ОВОС и ЕО (до МОСВ, уведомителни писма относно провежданите процедури по ОВОС/ЕО, по писмени консултации по определяне на обхвата, съдържанието и формата на доклади за ОВОС/ЕО и оценка качеството на ДОВОС-процедури от компетентност на МОСВ и РИОСВ, за допълнителна информация, за смяна на възложител, за становища до БДДР-Плевен, РЗИ-Враца, ИАРА, за правно действие на издадено от директора на РИОСВ – Враца Решение за преценяване на необходимостта от извършване на оценка на въздействието върху околната среда, промяна на възложител и др.)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305E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E31C6" w:rsidRPr="004305EA" w:rsidRDefault="001E31C6" w:rsidP="001E31C6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305EA">
        <w:rPr>
          <w:rFonts w:ascii="Times New Roman" w:hAnsi="Times New Roman"/>
          <w:color w:val="000000"/>
          <w:sz w:val="24"/>
          <w:szCs w:val="24"/>
        </w:rPr>
        <w:t xml:space="preserve">За отчетния период няма отменени/потвърдени с влезли в сила решения (на МОСВ или съответен съд) по обжалвани актове по реда на глава VІ от ЗООС, издадено преди отчетния период. </w:t>
      </w:r>
    </w:p>
    <w:p w:rsidR="001E31C6" w:rsidRPr="000A5E06" w:rsidRDefault="001E31C6" w:rsidP="001E31C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A5E06">
        <w:rPr>
          <w:rFonts w:ascii="Times New Roman" w:hAnsi="Times New Roman"/>
          <w:sz w:val="24"/>
          <w:szCs w:val="24"/>
          <w:lang w:val="bg-BG" w:eastAsia="bg-BG"/>
        </w:rPr>
        <w:t>При осъществяването на превантивния и последващ контрол, с цел опазване на защитените зони от мрежата Натура 2000 в областта, през периода е извършено следното:</w:t>
      </w:r>
    </w:p>
    <w:p w:rsidR="001E31C6" w:rsidRPr="000A5E06" w:rsidRDefault="001E31C6" w:rsidP="001E31C6">
      <w:pPr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A5E06">
        <w:rPr>
          <w:rFonts w:ascii="Times New Roman" w:hAnsi="Times New Roman"/>
          <w:sz w:val="24"/>
          <w:szCs w:val="24"/>
          <w:lang w:val="bg-BG" w:eastAsia="bg-BG"/>
        </w:rPr>
        <w:t>Във връзка с постъпилите уведомления за ИП/ППП, са издадени:</w:t>
      </w:r>
    </w:p>
    <w:p w:rsidR="001E31C6" w:rsidRPr="000A5E06" w:rsidRDefault="001E31C6" w:rsidP="001E31C6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A5E06">
        <w:rPr>
          <w:rFonts w:ascii="Times New Roman" w:hAnsi="Times New Roman"/>
          <w:sz w:val="24"/>
          <w:szCs w:val="24"/>
          <w:lang w:val="bg-BG" w:eastAsia="bg-BG"/>
        </w:rPr>
        <w:t xml:space="preserve">2 (един) бр. Решения по ОС по реда на чл.31 от Закона за биологичното разнообразие и Глава втора от Наредбата за ОС: Решение № ВР-3-ОС/06.03.2026 г. и Решение № ВР-4-ОС/27.02.2026 г. за инвестиционно предложение, попадащи в границите на защитена зона BG0000166 „Врачански Балкан“ за опазване на природните местообитания и на дивата флора и фауна; </w:t>
      </w:r>
    </w:p>
    <w:p w:rsidR="001E31C6" w:rsidRPr="000A5E06" w:rsidRDefault="001E31C6" w:rsidP="001E31C6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A5E06">
        <w:rPr>
          <w:rFonts w:ascii="Times New Roman" w:hAnsi="Times New Roman"/>
          <w:sz w:val="24"/>
          <w:szCs w:val="24"/>
          <w:lang w:val="bg-BG" w:eastAsia="bg-BG"/>
        </w:rPr>
        <w:t>За 10</w:t>
      </w:r>
      <w:r w:rsidRPr="000A5E06">
        <w:rPr>
          <w:rFonts w:ascii="Times New Roman" w:hAnsi="Times New Roman"/>
          <w:color w:val="FF0000"/>
          <w:sz w:val="24"/>
          <w:szCs w:val="24"/>
          <w:lang w:val="bg-BG" w:eastAsia="bg-BG"/>
        </w:rPr>
        <w:t xml:space="preserve"> </w:t>
      </w:r>
      <w:r w:rsidRPr="000A5E06">
        <w:rPr>
          <w:rFonts w:ascii="Times New Roman" w:hAnsi="Times New Roman"/>
          <w:sz w:val="24"/>
          <w:szCs w:val="24"/>
          <w:lang w:val="bg-BG" w:eastAsia="bg-BG"/>
        </w:rPr>
        <w:t xml:space="preserve">бр. ИП/ПП попадащи в обхвата на глава шеста на ЗООС, е извършена процедура по преценяване на вероятната степен на значително отрицателно въздействие върху защитените зони, по реда на глава III от </w:t>
      </w:r>
      <w:r w:rsidRPr="000A5E06">
        <w:rPr>
          <w:rFonts w:ascii="Times New Roman" w:hAnsi="Times New Roman"/>
          <w:i/>
          <w:sz w:val="24"/>
          <w:szCs w:val="24"/>
          <w:lang w:val="bg-BG" w:eastAsia="bg-BG"/>
        </w:rPr>
        <w:t>Наредбата за ОС</w:t>
      </w:r>
      <w:r w:rsidRPr="000A5E06">
        <w:rPr>
          <w:rFonts w:ascii="Times New Roman" w:hAnsi="Times New Roman"/>
          <w:sz w:val="24"/>
          <w:szCs w:val="24"/>
          <w:lang w:val="bg-BG" w:eastAsia="bg-BG"/>
        </w:rPr>
        <w:t xml:space="preserve"> и е представено становище, което е част от издадените решения по реда на ЗООС;</w:t>
      </w:r>
    </w:p>
    <w:p w:rsidR="001E31C6" w:rsidRPr="000A5E06" w:rsidRDefault="001E31C6" w:rsidP="001E31C6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A5E06">
        <w:rPr>
          <w:rFonts w:ascii="Times New Roman" w:hAnsi="Times New Roman"/>
          <w:sz w:val="24"/>
          <w:szCs w:val="24"/>
          <w:lang w:val="bg-BG" w:eastAsia="bg-BG"/>
        </w:rPr>
        <w:lastRenderedPageBreak/>
        <w:t>46</w:t>
      </w:r>
      <w:r w:rsidRPr="000A5E06">
        <w:rPr>
          <w:rFonts w:ascii="Times New Roman" w:hAnsi="Times New Roman"/>
          <w:color w:val="FF0000"/>
          <w:sz w:val="24"/>
          <w:szCs w:val="24"/>
          <w:lang w:val="bg-BG" w:eastAsia="bg-BG"/>
        </w:rPr>
        <w:t xml:space="preserve"> </w:t>
      </w:r>
      <w:r w:rsidRPr="000A5E06">
        <w:rPr>
          <w:rFonts w:ascii="Times New Roman" w:hAnsi="Times New Roman"/>
          <w:sz w:val="24"/>
          <w:szCs w:val="24"/>
          <w:lang w:val="bg-BG" w:eastAsia="bg-BG"/>
        </w:rPr>
        <w:t>бр.</w:t>
      </w:r>
      <w:r w:rsidRPr="000A5E06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0A5E06">
        <w:rPr>
          <w:rFonts w:ascii="Times New Roman" w:hAnsi="Times New Roman"/>
          <w:sz w:val="24"/>
          <w:szCs w:val="24"/>
          <w:lang w:val="bg-BG" w:eastAsia="bg-BG"/>
        </w:rPr>
        <w:t xml:space="preserve">писма по чл. 2, ал.2 от </w:t>
      </w:r>
      <w:r w:rsidRPr="000A5E06">
        <w:rPr>
          <w:rFonts w:ascii="Times New Roman" w:hAnsi="Times New Roman"/>
          <w:i/>
          <w:sz w:val="24"/>
          <w:szCs w:val="24"/>
          <w:lang w:val="bg-BG" w:eastAsia="bg-BG"/>
        </w:rPr>
        <w:t>Наредбата за ОС</w:t>
      </w:r>
      <w:r w:rsidRPr="000A5E06">
        <w:rPr>
          <w:rFonts w:ascii="Times New Roman" w:hAnsi="Times New Roman"/>
          <w:sz w:val="24"/>
          <w:szCs w:val="24"/>
          <w:lang w:val="bg-BG" w:eastAsia="bg-BG"/>
        </w:rPr>
        <w:t>, за преценяване вероятността от въздействие върху защитените зони, за инвестиционни предложения, планове, програми и проекти, извън обхвата на Глава шеста от ЗООС;</w:t>
      </w:r>
    </w:p>
    <w:p w:rsidR="001E31C6" w:rsidRPr="000A5E06" w:rsidRDefault="001E31C6" w:rsidP="001E31C6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A5E06">
        <w:rPr>
          <w:rFonts w:ascii="Times New Roman" w:hAnsi="Times New Roman"/>
          <w:sz w:val="24"/>
          <w:szCs w:val="24"/>
          <w:lang w:val="bg-BG" w:eastAsia="bg-BG"/>
        </w:rPr>
        <w:t xml:space="preserve">Изготвени са писма в отговор на постъпили заявления от граждани и институции, както следва: във връзка със закупуване на техника; за смяна НТП на поземлени имоти; за определяне местоположението на имоти спрямо защитени природни обекти и наличието на режими и забрани, и др. </w:t>
      </w:r>
    </w:p>
    <w:p w:rsidR="001E31C6" w:rsidRPr="007F3A8A" w:rsidRDefault="001E31C6" w:rsidP="001E31C6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През отчетния период, при осъществяване на контролната дейност, относно спазването на режимите, ограниченията и забраните, определени със заповедите за обявяване, Закона за защитените територии и Плана за управление на природен парк са извършени 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2</w:t>
      </w: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 бр. планови проверки на следните защитени територии:</w:t>
      </w:r>
    </w:p>
    <w:p w:rsidR="001E31C6" w:rsidRPr="007F3A8A" w:rsidRDefault="001E31C6" w:rsidP="001E31C6">
      <w:pPr>
        <w:numPr>
          <w:ilvl w:val="0"/>
          <w:numId w:val="20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>резерват „Врачански карст“, за опазване на уникален карстов комплекс с живописни пейзажи, в землището на гр. Враца, общ. Враца. Не са констатирани нарушения;</w:t>
      </w:r>
    </w:p>
    <w:p w:rsidR="001E31C6" w:rsidRPr="007F3A8A" w:rsidRDefault="001E31C6" w:rsidP="001E31C6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 xml:space="preserve">природен парк „Врачански балкан“, за опазване на разнообразни екосистеми с многообразие на растителни и животински видове и на техните местообитания, с характерни и забележителни ландшафти и обекти на неживата природа, в землището на с. Челопек и с. 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Паволче</w:t>
      </w:r>
      <w:r w:rsidRPr="007F3A8A">
        <w:rPr>
          <w:rFonts w:ascii="Times New Roman" w:hAnsi="Times New Roman"/>
          <w:bCs/>
          <w:color w:val="000000"/>
          <w:sz w:val="24"/>
          <w:szCs w:val="24"/>
          <w:lang w:eastAsia="bg-BG"/>
        </w:rPr>
        <w:t>, общ. Враца. Не са констатирани нарушения;</w:t>
      </w:r>
    </w:p>
    <w:p w:rsidR="001E31C6" w:rsidRPr="00421FB1" w:rsidRDefault="001E31C6" w:rsidP="001E31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21FB1">
        <w:rPr>
          <w:rFonts w:ascii="Times New Roman" w:hAnsi="Times New Roman"/>
          <w:bCs/>
          <w:sz w:val="24"/>
          <w:szCs w:val="24"/>
          <w:lang w:eastAsia="bg-BG"/>
        </w:rPr>
        <w:t>В изпълнение на Заповед № № РД-230/10.03.2026 г. на министъра на околната среда и водите, е изпратена в Дирекция НСЗП и Дирекция НКЦ схема за оповестяване и координация при възникване на пожар в Резерват „Врачански карст” – изключителна държавна собственост, общ. Враца, обл. Враца. С</w:t>
      </w:r>
      <w:r w:rsidRPr="00421FB1">
        <w:rPr>
          <w:rFonts w:ascii="Times New Roman" w:hAnsi="Times New Roman"/>
          <w:bCs/>
          <w:sz w:val="24"/>
          <w:szCs w:val="24"/>
          <w:lang w:val="ru-RU" w:eastAsia="bg-BG"/>
        </w:rPr>
        <w:t xml:space="preserve"> цел предотвратяване възникването на пожари, откриването им и успешното гасене </w:t>
      </w:r>
      <w:r w:rsidRPr="00421FB1">
        <w:rPr>
          <w:rFonts w:ascii="Times New Roman" w:hAnsi="Times New Roman"/>
          <w:bCs/>
          <w:sz w:val="24"/>
          <w:szCs w:val="24"/>
          <w:lang w:eastAsia="bg-BG"/>
        </w:rPr>
        <w:t xml:space="preserve">до кметовете на гр. Враца, с. Паволче, с. Згориград, кв. Бистрец-Враца е изпратено писмо с насоки през пожароопасния сезон. </w:t>
      </w:r>
      <w:r w:rsidRPr="00421FB1">
        <w:rPr>
          <w:rFonts w:ascii="Times New Roman" w:hAnsi="Times New Roman"/>
          <w:sz w:val="24"/>
          <w:szCs w:val="24"/>
        </w:rPr>
        <w:t xml:space="preserve">Извършена е проверка на наличните противопожарни средства, с които разполага РИОСВ - Враца за гасене на пожар в и около територията на резерват „Врачански карст“, находящи се в гаража на РИОСВ – Враца, във връзка с изготвяне на годишен Оперативен план за противопожарно устройство на резервата. </w:t>
      </w:r>
      <w:r w:rsidRPr="00421FB1">
        <w:rPr>
          <w:rFonts w:ascii="Times New Roman" w:hAnsi="Times New Roman"/>
          <w:bCs/>
          <w:sz w:val="24"/>
          <w:szCs w:val="24"/>
          <w:lang w:eastAsia="bg-BG"/>
        </w:rPr>
        <w:t>Изготвен е План за защита на горските територии от пожари в резерват „Врачански карст – изключителна държавна собственост, като същия е изпратен към РСПБЗН за съгласуване.</w:t>
      </w:r>
    </w:p>
    <w:p w:rsidR="001E31C6" w:rsidRPr="00421FB1" w:rsidRDefault="001E31C6" w:rsidP="001E31C6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1FB1">
        <w:rPr>
          <w:rFonts w:ascii="Times New Roman" w:hAnsi="Times New Roman"/>
          <w:bCs/>
          <w:sz w:val="24"/>
          <w:szCs w:val="24"/>
        </w:rPr>
        <w:t xml:space="preserve">Извършени са </w:t>
      </w:r>
      <w:r w:rsidRPr="004332D8">
        <w:rPr>
          <w:rFonts w:ascii="Times New Roman" w:hAnsi="Times New Roman"/>
          <w:bCs/>
          <w:sz w:val="24"/>
          <w:szCs w:val="24"/>
        </w:rPr>
        <w:t>8 бр.</w:t>
      </w:r>
      <w:r w:rsidRPr="00421FB1">
        <w:rPr>
          <w:rFonts w:ascii="Times New Roman" w:hAnsi="Times New Roman"/>
          <w:bCs/>
          <w:sz w:val="24"/>
          <w:szCs w:val="24"/>
        </w:rPr>
        <w:t xml:space="preserve"> планов</w:t>
      </w:r>
      <w:r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421FB1">
        <w:rPr>
          <w:rFonts w:ascii="Times New Roman" w:hAnsi="Times New Roman"/>
          <w:bCs/>
          <w:sz w:val="24"/>
          <w:szCs w:val="24"/>
        </w:rPr>
        <w:t xml:space="preserve"> проверк</w:t>
      </w:r>
      <w:r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421FB1">
        <w:rPr>
          <w:rFonts w:ascii="Times New Roman" w:hAnsi="Times New Roman"/>
          <w:bCs/>
          <w:sz w:val="24"/>
          <w:szCs w:val="24"/>
        </w:rPr>
        <w:t xml:space="preserve"> на вековни дървета обявени по реда на Глава пета от ЗБР. При проверките е установено, че дърветата са в добро фитосанитарно състояние, с изключение на едно дърво от вида летен дъб, което е невъзстановимо увредено и ще бъдат предприети действия за заличаването му от регистъра на вековните дървета в България.</w:t>
      </w:r>
    </w:p>
    <w:p w:rsidR="001E31C6" w:rsidRPr="00421FB1" w:rsidRDefault="001E31C6" w:rsidP="001E31C6">
      <w:pPr>
        <w:widowControl w:val="0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421FB1">
        <w:rPr>
          <w:rFonts w:ascii="Times New Roman" w:hAnsi="Times New Roman"/>
          <w:sz w:val="24"/>
          <w:szCs w:val="24"/>
        </w:rPr>
        <w:t xml:space="preserve">Подготвена е и изпратена до МОСВ документация за заличаване </w:t>
      </w:r>
      <w:r w:rsidRPr="00421FB1">
        <w:rPr>
          <w:rFonts w:ascii="Times New Roman" w:hAnsi="Times New Roman"/>
          <w:bCs/>
          <w:sz w:val="24"/>
          <w:szCs w:val="24"/>
        </w:rPr>
        <w:t xml:space="preserve">от регистъра на вековните дървета в България на дърво </w:t>
      </w:r>
      <w:r w:rsidRPr="00421FB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от вида Скоруша, заведено под №1729 в Регистъра на вековните дървета в България, находящо се в землището на гр. Враца, община Враца</w:t>
      </w:r>
    </w:p>
    <w:p w:rsidR="001E31C6" w:rsidRDefault="001E31C6" w:rsidP="001E31C6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E31C6" w:rsidRPr="00114447" w:rsidRDefault="001E31C6" w:rsidP="001E31C6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14447">
        <w:rPr>
          <w:rFonts w:ascii="Times New Roman" w:hAnsi="Times New Roman"/>
          <w:sz w:val="24"/>
          <w:szCs w:val="24"/>
        </w:rPr>
        <w:t xml:space="preserve">Във връзка с достъпа на обществеността до процедурите по ОВОС/ЕО, на интернет страницата на РИОСВ- Враца са поддържани съответните информационни масиви, като са изготвяни и съответните съобщения за тях. </w:t>
      </w:r>
    </w:p>
    <w:p w:rsidR="001E31C6" w:rsidRPr="00114447" w:rsidRDefault="001E31C6" w:rsidP="001E31C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14447">
        <w:rPr>
          <w:rFonts w:ascii="Times New Roman" w:hAnsi="Times New Roman"/>
          <w:sz w:val="24"/>
          <w:szCs w:val="24"/>
        </w:rPr>
        <w:t>Своевременно са изготвяни протоколите, във връзка с удостоверяване поставянето и свалянето от таблото на инспекцията на издадените Решения по глава шеста от ЗООС, по отношение достъп на обществеността чрез таблото на инспекцията.</w:t>
      </w:r>
    </w:p>
    <w:p w:rsidR="001E31C6" w:rsidRPr="00114447" w:rsidRDefault="001E31C6" w:rsidP="001E31C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14447">
        <w:rPr>
          <w:rFonts w:ascii="Times New Roman" w:hAnsi="Times New Roman"/>
          <w:sz w:val="24"/>
          <w:szCs w:val="24"/>
        </w:rPr>
        <w:t xml:space="preserve">Специализираните програмни Публични регистри (онлайн) по ОВОС и ЕО са актуализирани своевременно с данни за текущите процедури.  </w:t>
      </w:r>
    </w:p>
    <w:p w:rsidR="001E31C6" w:rsidRPr="002C68C8" w:rsidRDefault="001E31C6" w:rsidP="001E31C6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C68C8">
        <w:rPr>
          <w:rFonts w:ascii="Times New Roman" w:hAnsi="Times New Roman"/>
          <w:sz w:val="24"/>
          <w:szCs w:val="24"/>
          <w:lang w:val="bg-BG"/>
        </w:rPr>
        <w:t>На интернет страницата на инспекцията са публикувани 4 бр. прессъобщения.</w:t>
      </w:r>
    </w:p>
    <w:p w:rsidR="001E31C6" w:rsidRPr="00D0371E" w:rsidRDefault="001E31C6" w:rsidP="001E31C6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0371E">
        <w:rPr>
          <w:rFonts w:ascii="Times New Roman" w:hAnsi="Times New Roman"/>
          <w:sz w:val="24"/>
          <w:szCs w:val="24"/>
          <w:lang w:val="bg-BG"/>
        </w:rPr>
        <w:t>През периода са постъпили 2 броя заявления по ЗДОИ и е издадено 1 брой Решение за предоставяне на исканата информация и 1 брои уведомително писмо.</w:t>
      </w:r>
    </w:p>
    <w:p w:rsidR="001E31C6" w:rsidRPr="00661000" w:rsidRDefault="001E31C6" w:rsidP="001E31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61000">
        <w:rPr>
          <w:rFonts w:ascii="Times New Roman" w:hAnsi="Times New Roman"/>
          <w:sz w:val="24"/>
          <w:szCs w:val="24"/>
        </w:rPr>
        <w:t xml:space="preserve">На 16 март по случай Световния ден на водата експерти от Регионална инспекция по околната среда и водите – Враца съвместно с Регионална лаборатория - Враца към </w:t>
      </w:r>
      <w:r w:rsidRPr="00661000">
        <w:rPr>
          <w:rFonts w:ascii="Times New Roman" w:hAnsi="Times New Roman"/>
          <w:sz w:val="24"/>
          <w:szCs w:val="24"/>
        </w:rPr>
        <w:lastRenderedPageBreak/>
        <w:t>Изпълнителна агенция по околната среда гостуваха на ученици от СУ „Св. Св. Кирил и Методий“, гр. Криводол.</w:t>
      </w:r>
    </w:p>
    <w:p w:rsidR="001E31C6" w:rsidRPr="00661000" w:rsidRDefault="001E31C6" w:rsidP="001E31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61000">
        <w:rPr>
          <w:rFonts w:ascii="Times New Roman" w:hAnsi="Times New Roman"/>
          <w:sz w:val="24"/>
          <w:szCs w:val="24"/>
        </w:rPr>
        <w:t>По време на срещата експертите представиха презентация върху тазгодишната тема „Където водата тече, равенството расте“, която дава акцент върху това как достъпа до чиста вода е основно човешко право и ключов фактор за равенството между хората. Пред учениците в мероприятието бяха демонстрирани лабораторни опити показвайки различни стойности на pH на водата и начините за нейното пречистване.</w:t>
      </w:r>
    </w:p>
    <w:p w:rsidR="001E31C6" w:rsidRPr="00661000" w:rsidRDefault="001E31C6" w:rsidP="001E31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61000">
        <w:rPr>
          <w:rFonts w:ascii="Times New Roman" w:hAnsi="Times New Roman"/>
          <w:sz w:val="24"/>
          <w:szCs w:val="24"/>
        </w:rPr>
        <w:t>От своя страна учениците се включиха активно в събитието, като бяха подготвили постановка, посветена на водата и значението </w:t>
      </w:r>
      <w:r w:rsidRPr="00661000">
        <w:rPr>
          <w:rStyle w:val="ae"/>
          <w:rFonts w:ascii="Times New Roman" w:hAnsi="Times New Roman"/>
          <w:color w:val="333333"/>
          <w:sz w:val="24"/>
          <w:szCs w:val="24"/>
        </w:rPr>
        <w:t>ѝ</w:t>
      </w:r>
      <w:r w:rsidRPr="00661000">
        <w:rPr>
          <w:rFonts w:ascii="Times New Roman" w:hAnsi="Times New Roman"/>
          <w:sz w:val="24"/>
          <w:szCs w:val="24"/>
        </w:rPr>
        <w:t> за живота на Земята. Чрез своето участие те показаха творчество и ангажираност към темата за опазването на природните ресурси.</w:t>
      </w:r>
    </w:p>
    <w:p w:rsidR="001E31C6" w:rsidRPr="00661000" w:rsidRDefault="001E31C6" w:rsidP="001E31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61000">
        <w:rPr>
          <w:rFonts w:ascii="Times New Roman" w:hAnsi="Times New Roman"/>
          <w:sz w:val="24"/>
          <w:szCs w:val="24"/>
        </w:rPr>
        <w:t>С провеждането на инициативи РИОСВ продължава да насърчава екологичното образование и активното участие на младите хора в опазването на околната среда. Като част от инициативата на участниците бяха раздадени и малки подаръци, свързани с темата за опазването на околната среда.</w:t>
      </w: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3B" w:rsidRDefault="009A7F3B">
      <w:r>
        <w:separator/>
      </w:r>
    </w:p>
  </w:endnote>
  <w:endnote w:type="continuationSeparator" w:id="0">
    <w:p w:rsidR="009A7F3B" w:rsidRDefault="009A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rebuchet MS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E31C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E31C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8BDE4D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3B" w:rsidRDefault="009A7F3B">
      <w:r>
        <w:separator/>
      </w:r>
    </w:p>
  </w:footnote>
  <w:footnote w:type="continuationSeparator" w:id="0">
    <w:p w:rsidR="009A7F3B" w:rsidRDefault="009A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37A4BC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C84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E5"/>
    <w:multiLevelType w:val="hybridMultilevel"/>
    <w:tmpl w:val="CC66FDE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16C02"/>
    <w:multiLevelType w:val="hybridMultilevel"/>
    <w:tmpl w:val="CE6823C0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2644DB"/>
    <w:multiLevelType w:val="hybridMultilevel"/>
    <w:tmpl w:val="86888FA4"/>
    <w:lvl w:ilvl="0" w:tplc="466E51D8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2A53C3"/>
    <w:multiLevelType w:val="hybridMultilevel"/>
    <w:tmpl w:val="72269FBE"/>
    <w:lvl w:ilvl="0" w:tplc="49F48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1E6D26"/>
    <w:multiLevelType w:val="hybridMultilevel"/>
    <w:tmpl w:val="E1C4DA1C"/>
    <w:lvl w:ilvl="0" w:tplc="1B70FC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2A63D28">
      <w:numFmt w:val="bullet"/>
      <w:lvlText w:val="-"/>
      <w:lvlJc w:val="left"/>
      <w:pPr>
        <w:ind w:left="1860" w:hanging="78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1174"/>
    <w:multiLevelType w:val="hybridMultilevel"/>
    <w:tmpl w:val="77FEA784"/>
    <w:lvl w:ilvl="0" w:tplc="E716E2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F77186"/>
    <w:multiLevelType w:val="hybridMultilevel"/>
    <w:tmpl w:val="A16E5FB2"/>
    <w:lvl w:ilvl="0" w:tplc="ADF64D0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B1D533F"/>
    <w:multiLevelType w:val="hybridMultilevel"/>
    <w:tmpl w:val="6FD49BEA"/>
    <w:lvl w:ilvl="0" w:tplc="0D28FAC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B6465"/>
    <w:multiLevelType w:val="hybridMultilevel"/>
    <w:tmpl w:val="8760FE9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511A"/>
    <w:multiLevelType w:val="hybridMultilevel"/>
    <w:tmpl w:val="4B8466D8"/>
    <w:lvl w:ilvl="0" w:tplc="466E51D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33BF73B3"/>
    <w:multiLevelType w:val="hybridMultilevel"/>
    <w:tmpl w:val="CBC4C07E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067096"/>
    <w:multiLevelType w:val="hybridMultilevel"/>
    <w:tmpl w:val="D0A035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5661"/>
    <w:multiLevelType w:val="hybridMultilevel"/>
    <w:tmpl w:val="47C6DF20"/>
    <w:lvl w:ilvl="0" w:tplc="7AC2E7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93E8F"/>
    <w:multiLevelType w:val="hybridMultilevel"/>
    <w:tmpl w:val="EB4C7E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27F7E"/>
    <w:multiLevelType w:val="hybridMultilevel"/>
    <w:tmpl w:val="5C4C4236"/>
    <w:lvl w:ilvl="0" w:tplc="74D201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D68CC"/>
    <w:multiLevelType w:val="hybridMultilevel"/>
    <w:tmpl w:val="B3E85360"/>
    <w:lvl w:ilvl="0" w:tplc="D73A72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3E2572"/>
    <w:multiLevelType w:val="hybridMultilevel"/>
    <w:tmpl w:val="EBAA9628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101C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1CF1"/>
    <w:rsid w:val="00157D1E"/>
    <w:rsid w:val="001639BC"/>
    <w:rsid w:val="00164A31"/>
    <w:rsid w:val="0016663F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1E31C6"/>
    <w:rsid w:val="001F0854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3D84"/>
    <w:rsid w:val="002A709F"/>
    <w:rsid w:val="002B43F0"/>
    <w:rsid w:val="002B7809"/>
    <w:rsid w:val="002C17C5"/>
    <w:rsid w:val="002E25EF"/>
    <w:rsid w:val="002F7889"/>
    <w:rsid w:val="00324274"/>
    <w:rsid w:val="00352F4E"/>
    <w:rsid w:val="00377B7B"/>
    <w:rsid w:val="00385183"/>
    <w:rsid w:val="003A2792"/>
    <w:rsid w:val="003A2A77"/>
    <w:rsid w:val="003A7996"/>
    <w:rsid w:val="003B30BB"/>
    <w:rsid w:val="003D2239"/>
    <w:rsid w:val="003D4054"/>
    <w:rsid w:val="003D4A6B"/>
    <w:rsid w:val="003D773A"/>
    <w:rsid w:val="003E0719"/>
    <w:rsid w:val="00415A47"/>
    <w:rsid w:val="0044467D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129CE"/>
    <w:rsid w:val="00512F25"/>
    <w:rsid w:val="0052019E"/>
    <w:rsid w:val="00533EA4"/>
    <w:rsid w:val="00540802"/>
    <w:rsid w:val="00542B66"/>
    <w:rsid w:val="0057056E"/>
    <w:rsid w:val="005A3342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6474F"/>
    <w:rsid w:val="00686DB6"/>
    <w:rsid w:val="00695E9C"/>
    <w:rsid w:val="006B00B6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84A68"/>
    <w:rsid w:val="007A6290"/>
    <w:rsid w:val="007B5CDD"/>
    <w:rsid w:val="00810CB7"/>
    <w:rsid w:val="00836DEF"/>
    <w:rsid w:val="008404AE"/>
    <w:rsid w:val="00842F0C"/>
    <w:rsid w:val="008516CB"/>
    <w:rsid w:val="0085348A"/>
    <w:rsid w:val="00854FC5"/>
    <w:rsid w:val="008719BB"/>
    <w:rsid w:val="00876767"/>
    <w:rsid w:val="008B0206"/>
    <w:rsid w:val="008B1300"/>
    <w:rsid w:val="008D31D7"/>
    <w:rsid w:val="008D74B9"/>
    <w:rsid w:val="00936425"/>
    <w:rsid w:val="00946D85"/>
    <w:rsid w:val="00947B78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A7F3B"/>
    <w:rsid w:val="009C28A8"/>
    <w:rsid w:val="009C2DE3"/>
    <w:rsid w:val="009D7952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462"/>
    <w:rsid w:val="00B318B0"/>
    <w:rsid w:val="00B33C7F"/>
    <w:rsid w:val="00B4338F"/>
    <w:rsid w:val="00B724CF"/>
    <w:rsid w:val="00B76562"/>
    <w:rsid w:val="00BB1E2A"/>
    <w:rsid w:val="00BC78B7"/>
    <w:rsid w:val="00BF04EC"/>
    <w:rsid w:val="00BF4655"/>
    <w:rsid w:val="00C00904"/>
    <w:rsid w:val="00C02136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B536A"/>
    <w:rsid w:val="00CD05C6"/>
    <w:rsid w:val="00CD1F33"/>
    <w:rsid w:val="00CD302E"/>
    <w:rsid w:val="00CD411D"/>
    <w:rsid w:val="00CD5482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A1992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1EFC"/>
    <w:rsid w:val="00F06738"/>
    <w:rsid w:val="00F133D0"/>
    <w:rsid w:val="00F25365"/>
    <w:rsid w:val="00F71B05"/>
    <w:rsid w:val="00F72CF1"/>
    <w:rsid w:val="00F82768"/>
    <w:rsid w:val="00F85505"/>
    <w:rsid w:val="00FA2CCA"/>
    <w:rsid w:val="00FC1048"/>
    <w:rsid w:val="00FC43AE"/>
    <w:rsid w:val="00FD27F4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E4AC2D"/>
  <w15:docId w15:val="{E993E09A-90EE-45E3-B473-9D71AF4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styleId="ab">
    <w:name w:val="No Spacing"/>
    <w:uiPriority w:val="1"/>
    <w:qFormat/>
    <w:rsid w:val="002C17C5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ac">
    <w:name w:val="List Paragraph"/>
    <w:basedOn w:val="a"/>
    <w:uiPriority w:val="34"/>
    <w:qFormat/>
    <w:rsid w:val="002C17C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d">
    <w:name w:val="Normal (Web)"/>
    <w:basedOn w:val="a"/>
    <w:uiPriority w:val="99"/>
    <w:semiHidden/>
    <w:unhideWhenUsed/>
    <w:rsid w:val="008D31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e">
    <w:name w:val="Strong"/>
    <w:basedOn w:val="a0"/>
    <w:uiPriority w:val="22"/>
    <w:qFormat/>
    <w:rsid w:val="001E3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FE3FE-FB23-40C7-8AE6-922E8D78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Потребител на Windows</cp:lastModifiedBy>
  <cp:revision>29</cp:revision>
  <cp:lastPrinted>2024-10-25T12:53:00Z</cp:lastPrinted>
  <dcterms:created xsi:type="dcterms:W3CDTF">2025-12-15T10:46:00Z</dcterms:created>
  <dcterms:modified xsi:type="dcterms:W3CDTF">2026-04-03T09:36:00Z</dcterms:modified>
</cp:coreProperties>
</file>