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19F" w:rsidRDefault="0098619F" w:rsidP="0098619F">
      <w:pPr>
        <w:jc w:val="center"/>
        <w:rPr>
          <w:rFonts w:ascii="Times New Roman" w:hAnsi="Times New Roman"/>
          <w:b/>
          <w:sz w:val="24"/>
          <w:szCs w:val="24"/>
          <w:u w:val="single"/>
          <w:lang w:val="bg-BG"/>
        </w:rPr>
      </w:pPr>
    </w:p>
    <w:p w:rsidR="0098619F" w:rsidRPr="0098619F" w:rsidRDefault="0098619F" w:rsidP="0098619F">
      <w:pPr>
        <w:jc w:val="center"/>
        <w:rPr>
          <w:rFonts w:ascii="Times New Roman" w:hAnsi="Times New Roman"/>
          <w:sz w:val="24"/>
          <w:szCs w:val="24"/>
          <w:lang w:val="bg-BG"/>
        </w:rPr>
      </w:pPr>
      <w:r w:rsidRPr="0098619F">
        <w:rPr>
          <w:rFonts w:ascii="Times New Roman" w:hAnsi="Times New Roman"/>
          <w:b/>
          <w:sz w:val="24"/>
          <w:szCs w:val="24"/>
          <w:u w:val="single"/>
          <w:lang w:val="bg-BG"/>
        </w:rPr>
        <w:t>Съобщение</w:t>
      </w:r>
    </w:p>
    <w:p w:rsidR="0098619F" w:rsidRPr="0098619F" w:rsidRDefault="0098619F" w:rsidP="0098619F">
      <w:pPr>
        <w:ind w:firstLine="709"/>
        <w:jc w:val="both"/>
        <w:rPr>
          <w:rFonts w:ascii="Times New Roman" w:hAnsi="Times New Roman"/>
          <w:sz w:val="24"/>
          <w:lang w:val="bg-BG"/>
        </w:rPr>
      </w:pPr>
    </w:p>
    <w:p w:rsidR="0098619F" w:rsidRPr="0098619F" w:rsidRDefault="0098619F" w:rsidP="00AD1647">
      <w:pPr>
        <w:ind w:firstLine="709"/>
        <w:jc w:val="both"/>
        <w:rPr>
          <w:rFonts w:ascii="Times New Roman" w:hAnsi="Times New Roman"/>
          <w:sz w:val="24"/>
          <w:lang w:val="bg-BG"/>
        </w:rPr>
      </w:pPr>
      <w:r w:rsidRPr="0098619F">
        <w:rPr>
          <w:rFonts w:ascii="Times New Roman" w:hAnsi="Times New Roman"/>
          <w:sz w:val="24"/>
          <w:lang w:val="bg-BG"/>
        </w:rPr>
        <w:t xml:space="preserve">Във връзка с постъпило уведомление за инвестиционно предложение: </w:t>
      </w:r>
      <w:r w:rsidR="00AD1647" w:rsidRPr="00AD1647">
        <w:rPr>
          <w:rFonts w:ascii="Times New Roman" w:hAnsi="Times New Roman"/>
          <w:sz w:val="24"/>
          <w:lang w:val="bg-BG"/>
        </w:rPr>
        <w:t>„Добив на скалнооблицовъчни материали (варовикови блокове) от находище „Ема“, разположено в землищата на с. Царевец и с. Кален, общ. Мездра, обл. Враца“, с възложител: "Ю ЕНД СИ КЪНСТРЪКШЪН" АД, гр. София</w:t>
      </w:r>
      <w:r w:rsidRPr="0098619F">
        <w:rPr>
          <w:rFonts w:ascii="Times New Roman" w:hAnsi="Times New Roman"/>
          <w:sz w:val="24"/>
          <w:lang w:val="bg-BG"/>
        </w:rPr>
        <w:t xml:space="preserve">, на основание чл.5, ал.2 от </w:t>
      </w:r>
      <w:r w:rsidRPr="0098619F">
        <w:rPr>
          <w:rFonts w:ascii="Times New Roman" w:hAnsi="Times New Roman"/>
          <w:i/>
          <w:sz w:val="24"/>
          <w:lang w:val="bg-BG"/>
        </w:rPr>
        <w:t>Наредбата за условията и реда за извършване на оценка на въздействието върху околната среда</w:t>
      </w:r>
      <w:r w:rsidRPr="0098619F">
        <w:rPr>
          <w:rFonts w:ascii="Times New Roman" w:hAnsi="Times New Roman"/>
          <w:sz w:val="24"/>
          <w:lang w:val="bg-BG"/>
        </w:rPr>
        <w:t xml:space="preserve"> (Наредбата за ОВОС), РИОСВ – Враца уведомява за следното: </w:t>
      </w:r>
    </w:p>
    <w:p w:rsidR="0098619F" w:rsidRPr="0098619F" w:rsidRDefault="0098619F" w:rsidP="0098619F">
      <w:pPr>
        <w:jc w:val="both"/>
        <w:rPr>
          <w:rFonts w:ascii="Times New Roman" w:hAnsi="Times New Roman"/>
          <w:b/>
          <w:sz w:val="24"/>
          <w:szCs w:val="24"/>
          <w:lang w:val="bg-BG"/>
        </w:rPr>
      </w:pPr>
    </w:p>
    <w:p w:rsidR="0098619F" w:rsidRPr="0098619F" w:rsidRDefault="0098619F" w:rsidP="0098619F">
      <w:pPr>
        <w:ind w:firstLine="708"/>
        <w:jc w:val="both"/>
        <w:rPr>
          <w:rFonts w:ascii="Times New Roman" w:hAnsi="Times New Roman"/>
          <w:b/>
          <w:sz w:val="24"/>
          <w:szCs w:val="24"/>
          <w:lang w:val="bg-BG"/>
        </w:rPr>
      </w:pPr>
      <w:r w:rsidRPr="0098619F">
        <w:rPr>
          <w:rFonts w:ascii="Times New Roman" w:hAnsi="Times New Roman"/>
          <w:b/>
          <w:sz w:val="24"/>
          <w:szCs w:val="24"/>
          <w:lang w:val="bg-BG"/>
        </w:rPr>
        <w:t xml:space="preserve">І. По отношение на изискванията на глава шеста от Закона за опазване на околната среда: </w:t>
      </w:r>
    </w:p>
    <w:p w:rsidR="00AD1647" w:rsidRDefault="00A76ADB" w:rsidP="00AD1647">
      <w:pPr>
        <w:pStyle w:val="BodyText2"/>
        <w:ind w:firstLine="720"/>
      </w:pPr>
      <w:r>
        <w:rPr>
          <w:szCs w:val="24"/>
        </w:rPr>
        <w:t>Инвестиционното предложение предвижда</w:t>
      </w:r>
      <w:r w:rsidR="00045BAE" w:rsidRPr="00115E2D">
        <w:rPr>
          <w:color w:val="FF0000"/>
          <w:szCs w:val="24"/>
        </w:rPr>
        <w:t xml:space="preserve"> </w:t>
      </w:r>
      <w:r w:rsidR="00AD1647" w:rsidRPr="00B33952">
        <w:t xml:space="preserve">разработване на кариера за добив на скалнооблицовъчни материали (варовикови блокове) от находище „Ема“, разположено в землищата на с. Царевец и с. Кален, общ. Мездра, обл. Враца, с концесионна площ от 243 495 кв.м. (24,35 ха). Концесионният контур е ограничен от 8 крайни гранични точки с координати в координатна система БГС 2005, UTM зона 35, както следва: </w:t>
      </w:r>
    </w:p>
    <w:p w:rsidR="00AD1647" w:rsidRPr="003E0B4C" w:rsidRDefault="00AD1647" w:rsidP="00AD1647">
      <w:pPr>
        <w:jc w:val="both"/>
        <w:rPr>
          <w:rFonts w:ascii="Times New Roman" w:hAnsi="Times New Roman"/>
          <w:sz w:val="24"/>
          <w:lang w:val="bg-BG"/>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5"/>
        <w:gridCol w:w="3118"/>
      </w:tblGrid>
      <w:tr w:rsidR="00AD1647" w:rsidRPr="0078693D" w:rsidTr="001B295C">
        <w:tc>
          <w:tcPr>
            <w:tcW w:w="567" w:type="dxa"/>
            <w:shd w:val="clear" w:color="auto" w:fill="auto"/>
          </w:tcPr>
          <w:p w:rsidR="00AD1647" w:rsidRPr="008A0B40" w:rsidRDefault="00AD1647" w:rsidP="001B295C">
            <w:pPr>
              <w:rPr>
                <w:rFonts w:ascii="Times New Roman" w:hAnsi="Times New Roman"/>
                <w:sz w:val="24"/>
                <w:szCs w:val="24"/>
              </w:rPr>
            </w:pPr>
            <w:r w:rsidRPr="008A0B40">
              <w:rPr>
                <w:rFonts w:ascii="Times New Roman" w:hAnsi="Times New Roman"/>
                <w:sz w:val="24"/>
                <w:szCs w:val="24"/>
              </w:rPr>
              <w:t>№</w:t>
            </w:r>
          </w:p>
        </w:tc>
        <w:tc>
          <w:tcPr>
            <w:tcW w:w="2835" w:type="dxa"/>
            <w:shd w:val="clear" w:color="auto" w:fill="auto"/>
          </w:tcPr>
          <w:p w:rsidR="00AD1647" w:rsidRPr="008478E1" w:rsidRDefault="00AD1647" w:rsidP="001B295C">
            <w:pPr>
              <w:jc w:val="center"/>
              <w:rPr>
                <w:rFonts w:ascii="Times New Roman" w:hAnsi="Times New Roman"/>
                <w:sz w:val="24"/>
                <w:szCs w:val="24"/>
              </w:rPr>
            </w:pPr>
            <w:r w:rsidRPr="008478E1">
              <w:rPr>
                <w:rFonts w:ascii="Times New Roman" w:hAnsi="Times New Roman"/>
                <w:sz w:val="24"/>
                <w:szCs w:val="24"/>
              </w:rPr>
              <w:t>Х</w:t>
            </w:r>
          </w:p>
        </w:tc>
        <w:tc>
          <w:tcPr>
            <w:tcW w:w="3118" w:type="dxa"/>
            <w:shd w:val="clear" w:color="auto" w:fill="auto"/>
          </w:tcPr>
          <w:p w:rsidR="00AD1647" w:rsidRPr="00AF6E5C" w:rsidRDefault="00AD1647" w:rsidP="001B295C">
            <w:pPr>
              <w:jc w:val="center"/>
              <w:rPr>
                <w:rFonts w:ascii="Times New Roman" w:hAnsi="Times New Roman"/>
                <w:sz w:val="24"/>
                <w:szCs w:val="24"/>
              </w:rPr>
            </w:pPr>
            <w:r w:rsidRPr="00AF6E5C">
              <w:rPr>
                <w:rFonts w:ascii="Times New Roman" w:hAnsi="Times New Roman"/>
                <w:sz w:val="24"/>
                <w:szCs w:val="24"/>
              </w:rPr>
              <w:t>Y</w:t>
            </w:r>
          </w:p>
        </w:tc>
      </w:tr>
      <w:tr w:rsidR="00AD1647" w:rsidRPr="0078693D" w:rsidTr="001B295C">
        <w:tc>
          <w:tcPr>
            <w:tcW w:w="567" w:type="dxa"/>
            <w:shd w:val="clear" w:color="auto" w:fill="auto"/>
          </w:tcPr>
          <w:p w:rsidR="00AD1647" w:rsidRPr="008A0B40" w:rsidRDefault="00AD1647" w:rsidP="001B295C">
            <w:pPr>
              <w:jc w:val="center"/>
              <w:rPr>
                <w:rFonts w:ascii="Times New Roman" w:hAnsi="Times New Roman"/>
                <w:sz w:val="24"/>
                <w:szCs w:val="24"/>
              </w:rPr>
            </w:pPr>
            <w:r w:rsidRPr="008A0B40">
              <w:rPr>
                <w:rFonts w:ascii="Times New Roman" w:hAnsi="Times New Roman"/>
                <w:sz w:val="24"/>
                <w:szCs w:val="24"/>
              </w:rPr>
              <w:t>1</w:t>
            </w:r>
          </w:p>
        </w:tc>
        <w:tc>
          <w:tcPr>
            <w:tcW w:w="2835" w:type="dxa"/>
            <w:shd w:val="clear" w:color="auto" w:fill="auto"/>
          </w:tcPr>
          <w:p w:rsidR="00AD1647" w:rsidRPr="008478E1" w:rsidRDefault="00AD1647" w:rsidP="001B295C">
            <w:pPr>
              <w:jc w:val="center"/>
              <w:rPr>
                <w:rFonts w:ascii="Times New Roman" w:hAnsi="Times New Roman"/>
                <w:sz w:val="24"/>
                <w:szCs w:val="24"/>
                <w:lang w:val="bg-BG"/>
              </w:rPr>
            </w:pPr>
            <w:r>
              <w:rPr>
                <w:rFonts w:ascii="Times New Roman" w:hAnsi="Times New Roman"/>
                <w:sz w:val="24"/>
                <w:szCs w:val="24"/>
                <w:lang w:val="bg-BG"/>
              </w:rPr>
              <w:t>4787473.1</w:t>
            </w:r>
          </w:p>
        </w:tc>
        <w:tc>
          <w:tcPr>
            <w:tcW w:w="3118" w:type="dxa"/>
            <w:shd w:val="clear" w:color="auto" w:fill="auto"/>
          </w:tcPr>
          <w:p w:rsidR="00AD1647" w:rsidRPr="008478E1" w:rsidRDefault="00AD1647" w:rsidP="001B295C">
            <w:pPr>
              <w:jc w:val="center"/>
              <w:rPr>
                <w:rFonts w:ascii="Times New Roman" w:hAnsi="Times New Roman"/>
                <w:sz w:val="24"/>
                <w:szCs w:val="24"/>
                <w:lang w:val="bg-BG"/>
              </w:rPr>
            </w:pPr>
            <w:r>
              <w:rPr>
                <w:rFonts w:ascii="Times New Roman" w:hAnsi="Times New Roman"/>
                <w:sz w:val="24"/>
                <w:szCs w:val="24"/>
                <w:lang w:val="bg-BG"/>
              </w:rPr>
              <w:t>237537.7</w:t>
            </w:r>
          </w:p>
        </w:tc>
      </w:tr>
      <w:tr w:rsidR="00AD1647" w:rsidRPr="0078693D" w:rsidTr="001B295C">
        <w:tc>
          <w:tcPr>
            <w:tcW w:w="567" w:type="dxa"/>
            <w:shd w:val="clear" w:color="auto" w:fill="auto"/>
          </w:tcPr>
          <w:p w:rsidR="00AD1647" w:rsidRPr="008A0B40" w:rsidRDefault="00AD1647" w:rsidP="001B295C">
            <w:pPr>
              <w:jc w:val="center"/>
              <w:rPr>
                <w:rFonts w:ascii="Times New Roman" w:hAnsi="Times New Roman"/>
                <w:sz w:val="24"/>
                <w:szCs w:val="24"/>
              </w:rPr>
            </w:pPr>
            <w:r w:rsidRPr="008A0B40">
              <w:rPr>
                <w:rFonts w:ascii="Times New Roman" w:hAnsi="Times New Roman"/>
                <w:sz w:val="24"/>
                <w:szCs w:val="24"/>
              </w:rPr>
              <w:t>2</w:t>
            </w:r>
          </w:p>
        </w:tc>
        <w:tc>
          <w:tcPr>
            <w:tcW w:w="2835" w:type="dxa"/>
            <w:shd w:val="clear" w:color="auto" w:fill="auto"/>
          </w:tcPr>
          <w:p w:rsidR="00AD1647" w:rsidRPr="008478E1" w:rsidRDefault="00AD1647" w:rsidP="001B295C">
            <w:pPr>
              <w:jc w:val="center"/>
              <w:rPr>
                <w:rFonts w:ascii="Times New Roman" w:hAnsi="Times New Roman"/>
                <w:sz w:val="24"/>
                <w:szCs w:val="24"/>
                <w:lang w:val="bg-BG"/>
              </w:rPr>
            </w:pPr>
            <w:r>
              <w:rPr>
                <w:rFonts w:ascii="Times New Roman" w:hAnsi="Times New Roman"/>
                <w:sz w:val="24"/>
                <w:szCs w:val="24"/>
                <w:lang w:val="bg-BG"/>
              </w:rPr>
              <w:t>4787437.5</w:t>
            </w:r>
          </w:p>
        </w:tc>
        <w:tc>
          <w:tcPr>
            <w:tcW w:w="3118" w:type="dxa"/>
            <w:shd w:val="clear" w:color="auto" w:fill="auto"/>
          </w:tcPr>
          <w:p w:rsidR="00AD1647" w:rsidRPr="00203781" w:rsidRDefault="00AD1647" w:rsidP="001B295C">
            <w:pPr>
              <w:jc w:val="center"/>
              <w:rPr>
                <w:rFonts w:ascii="Times New Roman" w:hAnsi="Times New Roman"/>
                <w:sz w:val="24"/>
                <w:szCs w:val="24"/>
                <w:lang w:val="bg-BG"/>
              </w:rPr>
            </w:pPr>
            <w:r>
              <w:rPr>
                <w:rFonts w:ascii="Times New Roman" w:hAnsi="Times New Roman"/>
                <w:sz w:val="24"/>
                <w:szCs w:val="24"/>
                <w:lang w:val="bg-BG"/>
              </w:rPr>
              <w:t>238407.4</w:t>
            </w:r>
          </w:p>
        </w:tc>
      </w:tr>
      <w:tr w:rsidR="00AD1647" w:rsidRPr="0078693D" w:rsidTr="001B295C">
        <w:tc>
          <w:tcPr>
            <w:tcW w:w="567" w:type="dxa"/>
            <w:shd w:val="clear" w:color="auto" w:fill="auto"/>
          </w:tcPr>
          <w:p w:rsidR="00AD1647" w:rsidRPr="008A0B40" w:rsidRDefault="00AD1647" w:rsidP="001B295C">
            <w:pPr>
              <w:jc w:val="center"/>
              <w:rPr>
                <w:rFonts w:ascii="Times New Roman" w:hAnsi="Times New Roman"/>
                <w:sz w:val="24"/>
                <w:szCs w:val="24"/>
              </w:rPr>
            </w:pPr>
            <w:r w:rsidRPr="008A0B40">
              <w:rPr>
                <w:rFonts w:ascii="Times New Roman" w:hAnsi="Times New Roman"/>
                <w:sz w:val="24"/>
                <w:szCs w:val="24"/>
              </w:rPr>
              <w:t>3</w:t>
            </w:r>
          </w:p>
        </w:tc>
        <w:tc>
          <w:tcPr>
            <w:tcW w:w="2835" w:type="dxa"/>
            <w:shd w:val="clear" w:color="auto" w:fill="auto"/>
          </w:tcPr>
          <w:p w:rsidR="00AD1647" w:rsidRPr="008478E1" w:rsidRDefault="00AD1647" w:rsidP="001B295C">
            <w:pPr>
              <w:jc w:val="center"/>
              <w:rPr>
                <w:rFonts w:ascii="Times New Roman" w:hAnsi="Times New Roman"/>
                <w:sz w:val="24"/>
                <w:szCs w:val="24"/>
                <w:lang w:val="bg-BG"/>
              </w:rPr>
            </w:pPr>
            <w:r>
              <w:rPr>
                <w:rFonts w:ascii="Times New Roman" w:hAnsi="Times New Roman"/>
                <w:sz w:val="24"/>
                <w:szCs w:val="24"/>
                <w:lang w:val="bg-BG"/>
              </w:rPr>
              <w:t>4787140.1</w:t>
            </w:r>
          </w:p>
        </w:tc>
        <w:tc>
          <w:tcPr>
            <w:tcW w:w="3118" w:type="dxa"/>
            <w:shd w:val="clear" w:color="auto" w:fill="auto"/>
          </w:tcPr>
          <w:p w:rsidR="00AD1647" w:rsidRPr="008478E1" w:rsidRDefault="00AD1647" w:rsidP="001B295C">
            <w:pPr>
              <w:jc w:val="center"/>
              <w:rPr>
                <w:rFonts w:ascii="Times New Roman" w:hAnsi="Times New Roman"/>
                <w:sz w:val="24"/>
                <w:szCs w:val="24"/>
                <w:lang w:val="bg-BG"/>
              </w:rPr>
            </w:pPr>
            <w:r>
              <w:rPr>
                <w:rFonts w:ascii="Times New Roman" w:hAnsi="Times New Roman"/>
                <w:sz w:val="24"/>
                <w:szCs w:val="24"/>
                <w:lang w:val="bg-BG"/>
              </w:rPr>
              <w:t>238474.0</w:t>
            </w:r>
          </w:p>
        </w:tc>
      </w:tr>
      <w:tr w:rsidR="00AD1647" w:rsidRPr="0078693D" w:rsidTr="001B295C">
        <w:tc>
          <w:tcPr>
            <w:tcW w:w="567" w:type="dxa"/>
            <w:shd w:val="clear" w:color="auto" w:fill="auto"/>
          </w:tcPr>
          <w:p w:rsidR="00AD1647" w:rsidRPr="008A0B40" w:rsidRDefault="00AD1647" w:rsidP="001B295C">
            <w:pPr>
              <w:jc w:val="center"/>
              <w:rPr>
                <w:rFonts w:ascii="Times New Roman" w:hAnsi="Times New Roman"/>
                <w:sz w:val="24"/>
                <w:szCs w:val="24"/>
              </w:rPr>
            </w:pPr>
            <w:r w:rsidRPr="008A0B40">
              <w:rPr>
                <w:rFonts w:ascii="Times New Roman" w:hAnsi="Times New Roman"/>
                <w:sz w:val="24"/>
                <w:szCs w:val="24"/>
              </w:rPr>
              <w:t>4</w:t>
            </w:r>
          </w:p>
        </w:tc>
        <w:tc>
          <w:tcPr>
            <w:tcW w:w="2835" w:type="dxa"/>
            <w:shd w:val="clear" w:color="auto" w:fill="auto"/>
          </w:tcPr>
          <w:p w:rsidR="00AD1647" w:rsidRPr="008478E1" w:rsidRDefault="00AD1647" w:rsidP="001B295C">
            <w:pPr>
              <w:jc w:val="center"/>
              <w:rPr>
                <w:rFonts w:ascii="Times New Roman" w:hAnsi="Times New Roman"/>
                <w:sz w:val="24"/>
                <w:szCs w:val="24"/>
                <w:lang w:val="bg-BG"/>
              </w:rPr>
            </w:pPr>
            <w:r>
              <w:rPr>
                <w:rFonts w:ascii="Times New Roman" w:hAnsi="Times New Roman"/>
                <w:sz w:val="24"/>
                <w:szCs w:val="24"/>
                <w:lang w:val="bg-BG"/>
              </w:rPr>
              <w:t>4787195.5</w:t>
            </w:r>
          </w:p>
        </w:tc>
        <w:tc>
          <w:tcPr>
            <w:tcW w:w="3118" w:type="dxa"/>
            <w:shd w:val="clear" w:color="auto" w:fill="auto"/>
          </w:tcPr>
          <w:p w:rsidR="00AD1647" w:rsidRPr="008478E1" w:rsidRDefault="00AD1647" w:rsidP="001B295C">
            <w:pPr>
              <w:jc w:val="center"/>
              <w:rPr>
                <w:rFonts w:ascii="Times New Roman" w:hAnsi="Times New Roman"/>
                <w:sz w:val="24"/>
                <w:szCs w:val="24"/>
                <w:lang w:val="bg-BG"/>
              </w:rPr>
            </w:pPr>
            <w:r>
              <w:rPr>
                <w:rFonts w:ascii="Times New Roman" w:hAnsi="Times New Roman"/>
                <w:sz w:val="24"/>
                <w:szCs w:val="24"/>
                <w:lang w:val="bg-BG"/>
              </w:rPr>
              <w:t>238137.0</w:t>
            </w:r>
          </w:p>
        </w:tc>
      </w:tr>
      <w:tr w:rsidR="00AD1647" w:rsidRPr="0078693D" w:rsidTr="001B295C">
        <w:tc>
          <w:tcPr>
            <w:tcW w:w="567" w:type="dxa"/>
            <w:shd w:val="clear" w:color="auto" w:fill="auto"/>
          </w:tcPr>
          <w:p w:rsidR="00AD1647" w:rsidRPr="00D70EBA" w:rsidRDefault="00AD1647" w:rsidP="001B295C">
            <w:pPr>
              <w:jc w:val="center"/>
              <w:rPr>
                <w:rFonts w:ascii="Times New Roman" w:hAnsi="Times New Roman"/>
                <w:sz w:val="24"/>
                <w:szCs w:val="24"/>
                <w:lang w:val="bg-BG"/>
              </w:rPr>
            </w:pPr>
            <w:r>
              <w:rPr>
                <w:rFonts w:ascii="Times New Roman" w:hAnsi="Times New Roman"/>
                <w:sz w:val="24"/>
                <w:szCs w:val="24"/>
                <w:lang w:val="bg-BG"/>
              </w:rPr>
              <w:t>5</w:t>
            </w:r>
          </w:p>
        </w:tc>
        <w:tc>
          <w:tcPr>
            <w:tcW w:w="2835" w:type="dxa"/>
            <w:shd w:val="clear" w:color="auto" w:fill="auto"/>
          </w:tcPr>
          <w:p w:rsidR="00AD1647" w:rsidRPr="008478E1" w:rsidRDefault="00AD1647" w:rsidP="001B295C">
            <w:pPr>
              <w:jc w:val="center"/>
              <w:rPr>
                <w:rFonts w:ascii="Times New Roman" w:hAnsi="Times New Roman"/>
                <w:sz w:val="24"/>
                <w:szCs w:val="24"/>
                <w:lang w:val="bg-BG"/>
              </w:rPr>
            </w:pPr>
            <w:r>
              <w:rPr>
                <w:rFonts w:ascii="Times New Roman" w:hAnsi="Times New Roman"/>
                <w:sz w:val="24"/>
                <w:szCs w:val="24"/>
                <w:lang w:val="bg-BG"/>
              </w:rPr>
              <w:t>4787202.0</w:t>
            </w:r>
          </w:p>
        </w:tc>
        <w:tc>
          <w:tcPr>
            <w:tcW w:w="3118" w:type="dxa"/>
            <w:shd w:val="clear" w:color="auto" w:fill="auto"/>
          </w:tcPr>
          <w:p w:rsidR="00AD1647" w:rsidRPr="008478E1" w:rsidRDefault="00AD1647" w:rsidP="001B295C">
            <w:pPr>
              <w:jc w:val="center"/>
              <w:rPr>
                <w:rFonts w:ascii="Times New Roman" w:hAnsi="Times New Roman"/>
                <w:sz w:val="24"/>
                <w:szCs w:val="24"/>
                <w:lang w:val="bg-BG"/>
              </w:rPr>
            </w:pPr>
            <w:r>
              <w:rPr>
                <w:rFonts w:ascii="Times New Roman" w:hAnsi="Times New Roman"/>
                <w:sz w:val="24"/>
                <w:szCs w:val="24"/>
                <w:lang w:val="bg-BG"/>
              </w:rPr>
              <w:t>237993.1</w:t>
            </w:r>
          </w:p>
        </w:tc>
      </w:tr>
      <w:tr w:rsidR="00AD1647" w:rsidRPr="0078693D" w:rsidTr="001B295C">
        <w:tc>
          <w:tcPr>
            <w:tcW w:w="567" w:type="dxa"/>
            <w:shd w:val="clear" w:color="auto" w:fill="auto"/>
          </w:tcPr>
          <w:p w:rsidR="00AD1647" w:rsidRPr="00D70EBA" w:rsidRDefault="00AD1647" w:rsidP="001B295C">
            <w:pPr>
              <w:jc w:val="center"/>
              <w:rPr>
                <w:rFonts w:ascii="Times New Roman" w:hAnsi="Times New Roman"/>
                <w:sz w:val="24"/>
                <w:szCs w:val="24"/>
                <w:lang w:val="bg-BG"/>
              </w:rPr>
            </w:pPr>
            <w:r>
              <w:rPr>
                <w:rFonts w:ascii="Times New Roman" w:hAnsi="Times New Roman"/>
                <w:sz w:val="24"/>
                <w:szCs w:val="24"/>
                <w:lang w:val="bg-BG"/>
              </w:rPr>
              <w:t>6</w:t>
            </w:r>
          </w:p>
        </w:tc>
        <w:tc>
          <w:tcPr>
            <w:tcW w:w="2835" w:type="dxa"/>
            <w:shd w:val="clear" w:color="auto" w:fill="auto"/>
          </w:tcPr>
          <w:p w:rsidR="00AD1647" w:rsidRPr="008478E1" w:rsidRDefault="00AD1647" w:rsidP="001B295C">
            <w:pPr>
              <w:jc w:val="center"/>
              <w:rPr>
                <w:rFonts w:ascii="Times New Roman" w:hAnsi="Times New Roman"/>
                <w:sz w:val="24"/>
                <w:szCs w:val="24"/>
                <w:lang w:val="bg-BG"/>
              </w:rPr>
            </w:pPr>
            <w:r>
              <w:rPr>
                <w:rFonts w:ascii="Times New Roman" w:hAnsi="Times New Roman"/>
                <w:sz w:val="24"/>
                <w:szCs w:val="24"/>
                <w:lang w:val="bg-BG"/>
              </w:rPr>
              <w:t>4787233.7</w:t>
            </w:r>
          </w:p>
        </w:tc>
        <w:tc>
          <w:tcPr>
            <w:tcW w:w="3118" w:type="dxa"/>
            <w:shd w:val="clear" w:color="auto" w:fill="auto"/>
          </w:tcPr>
          <w:p w:rsidR="00AD1647" w:rsidRPr="008478E1" w:rsidRDefault="00AD1647" w:rsidP="001B295C">
            <w:pPr>
              <w:jc w:val="center"/>
              <w:rPr>
                <w:rFonts w:ascii="Times New Roman" w:hAnsi="Times New Roman"/>
                <w:sz w:val="24"/>
                <w:szCs w:val="24"/>
                <w:lang w:val="bg-BG"/>
              </w:rPr>
            </w:pPr>
            <w:r>
              <w:rPr>
                <w:rFonts w:ascii="Times New Roman" w:hAnsi="Times New Roman"/>
                <w:sz w:val="24"/>
                <w:szCs w:val="24"/>
                <w:lang w:val="bg-BG"/>
              </w:rPr>
              <w:t>237891.4</w:t>
            </w:r>
          </w:p>
        </w:tc>
      </w:tr>
      <w:tr w:rsidR="00AD1647" w:rsidRPr="0078693D" w:rsidTr="001B295C">
        <w:tc>
          <w:tcPr>
            <w:tcW w:w="567" w:type="dxa"/>
            <w:shd w:val="clear" w:color="auto" w:fill="auto"/>
          </w:tcPr>
          <w:p w:rsidR="00AD1647" w:rsidRPr="00D70EBA" w:rsidRDefault="00AD1647" w:rsidP="001B295C">
            <w:pPr>
              <w:jc w:val="center"/>
              <w:rPr>
                <w:rFonts w:ascii="Times New Roman" w:hAnsi="Times New Roman"/>
                <w:sz w:val="24"/>
                <w:szCs w:val="24"/>
                <w:lang w:val="bg-BG"/>
              </w:rPr>
            </w:pPr>
            <w:r>
              <w:rPr>
                <w:rFonts w:ascii="Times New Roman" w:hAnsi="Times New Roman"/>
                <w:sz w:val="24"/>
                <w:szCs w:val="24"/>
                <w:lang w:val="bg-BG"/>
              </w:rPr>
              <w:t>7</w:t>
            </w:r>
          </w:p>
        </w:tc>
        <w:tc>
          <w:tcPr>
            <w:tcW w:w="2835" w:type="dxa"/>
            <w:shd w:val="clear" w:color="auto" w:fill="auto"/>
          </w:tcPr>
          <w:p w:rsidR="00AD1647" w:rsidRPr="008478E1" w:rsidRDefault="00AD1647" w:rsidP="001B295C">
            <w:pPr>
              <w:jc w:val="center"/>
              <w:rPr>
                <w:rFonts w:ascii="Times New Roman" w:hAnsi="Times New Roman"/>
                <w:sz w:val="24"/>
                <w:szCs w:val="24"/>
                <w:lang w:val="bg-BG"/>
              </w:rPr>
            </w:pPr>
            <w:r>
              <w:rPr>
                <w:rFonts w:ascii="Times New Roman" w:hAnsi="Times New Roman"/>
                <w:sz w:val="24"/>
                <w:szCs w:val="24"/>
                <w:lang w:val="bg-BG"/>
              </w:rPr>
              <w:t>4787265.3</w:t>
            </w:r>
          </w:p>
        </w:tc>
        <w:tc>
          <w:tcPr>
            <w:tcW w:w="3118" w:type="dxa"/>
            <w:shd w:val="clear" w:color="auto" w:fill="auto"/>
          </w:tcPr>
          <w:p w:rsidR="00AD1647" w:rsidRPr="008478E1" w:rsidRDefault="00AD1647" w:rsidP="001B295C">
            <w:pPr>
              <w:jc w:val="center"/>
              <w:rPr>
                <w:rFonts w:ascii="Times New Roman" w:hAnsi="Times New Roman"/>
                <w:sz w:val="24"/>
                <w:szCs w:val="24"/>
                <w:lang w:val="bg-BG"/>
              </w:rPr>
            </w:pPr>
            <w:r>
              <w:rPr>
                <w:rFonts w:ascii="Times New Roman" w:hAnsi="Times New Roman"/>
                <w:sz w:val="24"/>
                <w:szCs w:val="24"/>
                <w:lang w:val="bg-BG"/>
              </w:rPr>
              <w:t>237395.1</w:t>
            </w:r>
          </w:p>
        </w:tc>
      </w:tr>
      <w:tr w:rsidR="00AD1647" w:rsidRPr="0078693D" w:rsidTr="001B295C">
        <w:tc>
          <w:tcPr>
            <w:tcW w:w="567" w:type="dxa"/>
            <w:shd w:val="clear" w:color="auto" w:fill="auto"/>
          </w:tcPr>
          <w:p w:rsidR="00AD1647" w:rsidRPr="00D70EBA" w:rsidRDefault="00AD1647" w:rsidP="001B295C">
            <w:pPr>
              <w:jc w:val="center"/>
              <w:rPr>
                <w:rFonts w:ascii="Times New Roman" w:hAnsi="Times New Roman"/>
                <w:sz w:val="24"/>
                <w:szCs w:val="24"/>
                <w:lang w:val="bg-BG"/>
              </w:rPr>
            </w:pPr>
            <w:r>
              <w:rPr>
                <w:rFonts w:ascii="Times New Roman" w:hAnsi="Times New Roman"/>
                <w:sz w:val="24"/>
                <w:szCs w:val="24"/>
                <w:lang w:val="bg-BG"/>
              </w:rPr>
              <w:t>8</w:t>
            </w:r>
          </w:p>
        </w:tc>
        <w:tc>
          <w:tcPr>
            <w:tcW w:w="2835" w:type="dxa"/>
            <w:shd w:val="clear" w:color="auto" w:fill="auto"/>
          </w:tcPr>
          <w:p w:rsidR="00AD1647" w:rsidRPr="008478E1" w:rsidRDefault="00AD1647" w:rsidP="001B295C">
            <w:pPr>
              <w:jc w:val="center"/>
              <w:rPr>
                <w:rFonts w:ascii="Times New Roman" w:hAnsi="Times New Roman"/>
                <w:sz w:val="24"/>
                <w:szCs w:val="24"/>
                <w:lang w:val="bg-BG"/>
              </w:rPr>
            </w:pPr>
            <w:r>
              <w:rPr>
                <w:rFonts w:ascii="Times New Roman" w:hAnsi="Times New Roman"/>
                <w:sz w:val="24"/>
                <w:szCs w:val="24"/>
                <w:lang w:val="bg-BG"/>
              </w:rPr>
              <w:t>4787371.2</w:t>
            </w:r>
          </w:p>
        </w:tc>
        <w:tc>
          <w:tcPr>
            <w:tcW w:w="3118" w:type="dxa"/>
            <w:shd w:val="clear" w:color="auto" w:fill="auto"/>
          </w:tcPr>
          <w:p w:rsidR="00AD1647" w:rsidRPr="008478E1" w:rsidRDefault="00AD1647" w:rsidP="001B295C">
            <w:pPr>
              <w:jc w:val="center"/>
              <w:rPr>
                <w:rFonts w:ascii="Times New Roman" w:hAnsi="Times New Roman"/>
                <w:sz w:val="24"/>
                <w:szCs w:val="24"/>
                <w:lang w:val="bg-BG"/>
              </w:rPr>
            </w:pPr>
            <w:r>
              <w:rPr>
                <w:rFonts w:ascii="Times New Roman" w:hAnsi="Times New Roman"/>
                <w:sz w:val="24"/>
                <w:szCs w:val="24"/>
                <w:lang w:val="bg-BG"/>
              </w:rPr>
              <w:t>237400.9</w:t>
            </w:r>
          </w:p>
        </w:tc>
      </w:tr>
    </w:tbl>
    <w:p w:rsidR="00AD1647" w:rsidRDefault="00AD1647" w:rsidP="00AD1647">
      <w:pPr>
        <w:pStyle w:val="BodyText2"/>
        <w:ind w:firstLine="720"/>
      </w:pPr>
    </w:p>
    <w:p w:rsidR="00AD1647" w:rsidRDefault="00AD1647" w:rsidP="00AD1647">
      <w:pPr>
        <w:pStyle w:val="BodyText2"/>
        <w:ind w:firstLine="720"/>
      </w:pPr>
    </w:p>
    <w:p w:rsidR="00AD1647" w:rsidRPr="001D0443" w:rsidRDefault="00AD1647" w:rsidP="00AD1647">
      <w:pPr>
        <w:ind w:firstLine="720"/>
        <w:jc w:val="both"/>
        <w:rPr>
          <w:rFonts w:ascii="Times New Roman" w:hAnsi="Times New Roman"/>
          <w:sz w:val="24"/>
          <w:lang w:val="bg-BG"/>
        </w:rPr>
      </w:pPr>
      <w:r w:rsidRPr="001D0443">
        <w:rPr>
          <w:rFonts w:ascii="Times New Roman" w:hAnsi="Times New Roman"/>
          <w:sz w:val="24"/>
          <w:lang w:val="bg-BG"/>
        </w:rPr>
        <w:t>Добивът и изземването на запасите от варовици ще се осъществява по открит кариерен способ без взривни работи в обем от 5000 м</w:t>
      </w:r>
      <w:r w:rsidRPr="00EE152E">
        <w:rPr>
          <w:rFonts w:ascii="Times New Roman" w:hAnsi="Times New Roman"/>
          <w:sz w:val="24"/>
          <w:vertAlign w:val="superscript"/>
          <w:lang w:val="bg-BG"/>
        </w:rPr>
        <w:t>3</w:t>
      </w:r>
      <w:r w:rsidRPr="001D0443">
        <w:rPr>
          <w:rFonts w:ascii="Times New Roman" w:hAnsi="Times New Roman"/>
          <w:sz w:val="24"/>
          <w:lang w:val="bg-BG"/>
        </w:rPr>
        <w:t>/год, като при рандеман 20 % ще се добиват 1000 м</w:t>
      </w:r>
      <w:r w:rsidRPr="00EE152E">
        <w:rPr>
          <w:rFonts w:ascii="Times New Roman" w:hAnsi="Times New Roman"/>
          <w:sz w:val="24"/>
          <w:vertAlign w:val="superscript"/>
          <w:lang w:val="bg-BG"/>
        </w:rPr>
        <w:t>3</w:t>
      </w:r>
      <w:r w:rsidRPr="001D0443">
        <w:rPr>
          <w:rFonts w:ascii="Times New Roman" w:hAnsi="Times New Roman"/>
          <w:sz w:val="24"/>
          <w:lang w:val="bg-BG"/>
        </w:rPr>
        <w:t xml:space="preserve"> варовикови блокове годишно. </w:t>
      </w:r>
    </w:p>
    <w:p w:rsidR="00AD1647" w:rsidRPr="001D0443" w:rsidRDefault="00AD1647" w:rsidP="00AD1647">
      <w:pPr>
        <w:ind w:firstLine="720"/>
        <w:jc w:val="both"/>
        <w:rPr>
          <w:rFonts w:ascii="Times New Roman" w:hAnsi="Times New Roman"/>
          <w:sz w:val="24"/>
          <w:lang w:val="bg-BG"/>
        </w:rPr>
      </w:pPr>
      <w:r w:rsidRPr="001D0443">
        <w:rPr>
          <w:rFonts w:ascii="Times New Roman" w:hAnsi="Times New Roman"/>
          <w:sz w:val="24"/>
          <w:lang w:val="bg-BG"/>
        </w:rPr>
        <w:t>Основните процеси, който ще се извършват при разработването на находището са:</w:t>
      </w:r>
    </w:p>
    <w:p w:rsidR="00AD1647" w:rsidRPr="001D0443" w:rsidRDefault="00AD1647" w:rsidP="00AD1647">
      <w:pPr>
        <w:pStyle w:val="ListParagraph"/>
        <w:numPr>
          <w:ilvl w:val="0"/>
          <w:numId w:val="2"/>
        </w:numPr>
        <w:jc w:val="both"/>
        <w:rPr>
          <w:rFonts w:ascii="Times New Roman" w:hAnsi="Times New Roman"/>
          <w:sz w:val="24"/>
          <w:lang w:val="bg-BG"/>
        </w:rPr>
      </w:pPr>
      <w:r w:rsidRPr="001D0443">
        <w:rPr>
          <w:rFonts w:ascii="Times New Roman" w:hAnsi="Times New Roman"/>
          <w:sz w:val="24"/>
          <w:lang w:val="bg-BG"/>
        </w:rPr>
        <w:t xml:space="preserve">Откривни работи – </w:t>
      </w:r>
      <w:r>
        <w:rPr>
          <w:rFonts w:ascii="Times New Roman" w:hAnsi="Times New Roman"/>
          <w:sz w:val="24"/>
          <w:lang w:val="bg-BG"/>
        </w:rPr>
        <w:t>П</w:t>
      </w:r>
      <w:r w:rsidRPr="001D0443">
        <w:rPr>
          <w:rFonts w:ascii="Times New Roman" w:hAnsi="Times New Roman"/>
          <w:sz w:val="24"/>
          <w:lang w:val="bg-BG"/>
        </w:rPr>
        <w:t xml:space="preserve">ри открития способ на добив на полезното изкопаемо от находището се отстранява разкривка. </w:t>
      </w:r>
    </w:p>
    <w:p w:rsidR="00AD1647" w:rsidRPr="001D0443" w:rsidRDefault="00AD1647" w:rsidP="00AD1647">
      <w:pPr>
        <w:pStyle w:val="ListParagraph"/>
        <w:ind w:left="360"/>
        <w:jc w:val="both"/>
        <w:rPr>
          <w:rFonts w:ascii="Times New Roman" w:hAnsi="Times New Roman"/>
          <w:sz w:val="24"/>
          <w:lang w:val="bg-BG"/>
        </w:rPr>
      </w:pPr>
      <w:r w:rsidRPr="001D0443">
        <w:rPr>
          <w:rFonts w:ascii="Times New Roman" w:hAnsi="Times New Roman"/>
          <w:sz w:val="24"/>
          <w:lang w:val="bg-BG"/>
        </w:rPr>
        <w:t xml:space="preserve">Откривните работи ще се извършват с помощта на булдозер, верижен багер, челен товарач, дъмпер. Булдозерът ще изземва скалите от откривката </w:t>
      </w:r>
      <w:r>
        <w:rPr>
          <w:rFonts w:ascii="Times New Roman" w:hAnsi="Times New Roman"/>
          <w:sz w:val="24"/>
          <w:lang w:val="bg-BG"/>
        </w:rPr>
        <w:t>с хоризонтални стружки при праволинейна схема на работа и средно транспортно разстояние на скалите 50 м. В края на всяка част скалите се натрупват на междинни купчини с обем до 100 – 200 м</w:t>
      </w:r>
      <w:r w:rsidRPr="00EE152E">
        <w:rPr>
          <w:rFonts w:ascii="Times New Roman" w:hAnsi="Times New Roman"/>
          <w:sz w:val="24"/>
          <w:vertAlign w:val="superscript"/>
          <w:lang w:val="bg-BG"/>
        </w:rPr>
        <w:t>3</w:t>
      </w:r>
      <w:r>
        <w:rPr>
          <w:rFonts w:ascii="Times New Roman" w:hAnsi="Times New Roman"/>
          <w:sz w:val="24"/>
          <w:lang w:val="bg-BG"/>
        </w:rPr>
        <w:t xml:space="preserve">. Куповете с откривка ще се натоварват с помощта на </w:t>
      </w:r>
      <w:r w:rsidRPr="008D72B5">
        <w:rPr>
          <w:rFonts w:ascii="Times New Roman" w:hAnsi="Times New Roman"/>
          <w:sz w:val="24"/>
          <w:lang w:val="bg-BG"/>
        </w:rPr>
        <w:t>челен товарач</w:t>
      </w:r>
      <w:r>
        <w:rPr>
          <w:rFonts w:ascii="Times New Roman" w:hAnsi="Times New Roman"/>
          <w:sz w:val="24"/>
          <w:lang w:val="bg-BG"/>
        </w:rPr>
        <w:t xml:space="preserve"> и автосамосвали, които ще я транспортират до вътрешно насипище. Булдозерът и челният товарач ще изпълняват и спомагателни функции в кариерата при поддръжката на кариерните пътища, подравняването на работните площадки, прибутване на негабаритни скални </w:t>
      </w:r>
      <w:r>
        <w:rPr>
          <w:rFonts w:ascii="Times New Roman" w:hAnsi="Times New Roman"/>
          <w:sz w:val="24"/>
          <w:lang w:val="bg-BG"/>
        </w:rPr>
        <w:lastRenderedPageBreak/>
        <w:t>късове, насипообразуването на откривката в насипището, преместване и натоварване на натрошения материал и др.</w:t>
      </w:r>
    </w:p>
    <w:p w:rsidR="00AD1647" w:rsidRPr="00DA4B75" w:rsidRDefault="00AD1647" w:rsidP="00AD1647">
      <w:pPr>
        <w:pStyle w:val="ListParagraph"/>
        <w:numPr>
          <w:ilvl w:val="0"/>
          <w:numId w:val="2"/>
        </w:numPr>
        <w:jc w:val="both"/>
        <w:rPr>
          <w:rFonts w:ascii="Times New Roman" w:hAnsi="Times New Roman"/>
          <w:sz w:val="24"/>
          <w:lang w:val="bg-BG"/>
        </w:rPr>
      </w:pPr>
      <w:r w:rsidRPr="00DA4B75">
        <w:rPr>
          <w:rFonts w:ascii="Times New Roman" w:hAnsi="Times New Roman"/>
          <w:sz w:val="24"/>
          <w:lang w:val="bg-BG"/>
        </w:rPr>
        <w:t>Добивни работи – Варовиковите блокове ще се добиват по открит кариерен начин без използване на взривни работи с помощта на диамантени въжени резачки и пробивна сонда. Добивните блокове при рандеман 20 % за срока на концесията са 35000 м</w:t>
      </w:r>
      <w:r w:rsidRPr="00EE152E">
        <w:rPr>
          <w:rFonts w:ascii="Times New Roman" w:hAnsi="Times New Roman"/>
          <w:sz w:val="24"/>
          <w:vertAlign w:val="superscript"/>
          <w:lang w:val="bg-BG"/>
        </w:rPr>
        <w:t>3</w:t>
      </w:r>
      <w:r w:rsidRPr="00DA4B75">
        <w:rPr>
          <w:rFonts w:ascii="Times New Roman" w:hAnsi="Times New Roman"/>
          <w:sz w:val="24"/>
          <w:lang w:val="bg-BG"/>
        </w:rPr>
        <w:t>. Находището ще бъде отработено с 9 експлоатационни хоризонта. Предвожда се височината на отделните работни хоризонти да е 5 м.</w:t>
      </w:r>
    </w:p>
    <w:p w:rsidR="00AD1647" w:rsidRDefault="00AD1647" w:rsidP="00AD1647">
      <w:pPr>
        <w:pStyle w:val="ListParagraph"/>
        <w:numPr>
          <w:ilvl w:val="0"/>
          <w:numId w:val="2"/>
        </w:numPr>
        <w:jc w:val="both"/>
        <w:rPr>
          <w:rFonts w:ascii="Times New Roman" w:hAnsi="Times New Roman"/>
          <w:sz w:val="24"/>
          <w:lang w:val="bg-BG"/>
        </w:rPr>
      </w:pPr>
      <w:r w:rsidRPr="002646F8">
        <w:rPr>
          <w:rFonts w:ascii="Times New Roman" w:hAnsi="Times New Roman"/>
          <w:sz w:val="24"/>
          <w:lang w:val="bg-BG"/>
        </w:rPr>
        <w:t xml:space="preserve">Насипищни работи – </w:t>
      </w:r>
      <w:r>
        <w:rPr>
          <w:rFonts w:ascii="Times New Roman" w:hAnsi="Times New Roman"/>
          <w:sz w:val="24"/>
          <w:lang w:val="bg-BG"/>
        </w:rPr>
        <w:t xml:space="preserve">Почвеното депо ще се изгради в самото начало на експлоатацията на обекта в рамките на концесионната площ извън запасите. В него ще бъдат съхранявани обемите на отнемания в процеса на експлоатация почвен слой, който се класифицира като „незамърсени почви“. Почвените материали ще се използват за рекултивационни дейности и се предвижда да бъдат оползотворени в края на концесионния срок. </w:t>
      </w:r>
    </w:p>
    <w:p w:rsidR="00AD1647" w:rsidRPr="00600A9F" w:rsidRDefault="00AD1647" w:rsidP="00AD1647">
      <w:pPr>
        <w:pStyle w:val="ListParagraph"/>
        <w:ind w:left="360"/>
        <w:jc w:val="both"/>
        <w:rPr>
          <w:rFonts w:ascii="Times New Roman" w:hAnsi="Times New Roman"/>
          <w:sz w:val="24"/>
          <w:lang w:val="bg-BG"/>
        </w:rPr>
      </w:pPr>
      <w:r w:rsidRPr="00600A9F">
        <w:rPr>
          <w:rFonts w:ascii="Times New Roman" w:hAnsi="Times New Roman"/>
          <w:sz w:val="24"/>
          <w:lang w:val="bg-BG"/>
        </w:rPr>
        <w:t>Иззетата скална откривка ще се транспортира със самосвали до съоръжения за минни отпадъци по утвърден план за управление на минните отпадъци.</w:t>
      </w:r>
    </w:p>
    <w:p w:rsidR="00AD1647" w:rsidRPr="00600A9F" w:rsidRDefault="00AD1647" w:rsidP="00AD1647">
      <w:pPr>
        <w:pStyle w:val="ListParagraph"/>
        <w:ind w:left="360"/>
        <w:jc w:val="both"/>
        <w:rPr>
          <w:rFonts w:ascii="Times New Roman" w:hAnsi="Times New Roman"/>
          <w:sz w:val="24"/>
          <w:lang w:val="bg-BG"/>
        </w:rPr>
      </w:pPr>
      <w:r w:rsidRPr="00600A9F">
        <w:rPr>
          <w:rFonts w:ascii="Times New Roman" w:hAnsi="Times New Roman"/>
          <w:sz w:val="24"/>
          <w:lang w:val="bg-BG"/>
        </w:rPr>
        <w:t>Вътрешните кариерни насипища в края на експлоатацията ще се закрият чрез рекултивирането им.</w:t>
      </w:r>
    </w:p>
    <w:p w:rsidR="00AD1647" w:rsidRDefault="00AD1647" w:rsidP="00AD1647">
      <w:pPr>
        <w:pStyle w:val="ListParagraph"/>
        <w:numPr>
          <w:ilvl w:val="0"/>
          <w:numId w:val="2"/>
        </w:numPr>
        <w:jc w:val="both"/>
        <w:rPr>
          <w:rFonts w:ascii="Times New Roman" w:hAnsi="Times New Roman"/>
          <w:sz w:val="24"/>
          <w:lang w:val="bg-BG"/>
        </w:rPr>
      </w:pPr>
      <w:r w:rsidRPr="002646F8">
        <w:rPr>
          <w:rFonts w:ascii="Times New Roman" w:hAnsi="Times New Roman"/>
          <w:sz w:val="24"/>
          <w:lang w:val="bg-BG"/>
        </w:rPr>
        <w:t>Товарене и транспорт на блоковете –</w:t>
      </w:r>
      <w:r>
        <w:rPr>
          <w:rFonts w:ascii="Times New Roman" w:hAnsi="Times New Roman"/>
          <w:sz w:val="24"/>
          <w:lang w:val="bg-BG"/>
        </w:rPr>
        <w:t xml:space="preserve"> Т</w:t>
      </w:r>
      <w:r w:rsidRPr="002646F8">
        <w:rPr>
          <w:rFonts w:ascii="Times New Roman" w:hAnsi="Times New Roman"/>
          <w:sz w:val="24"/>
          <w:lang w:val="bg-BG"/>
        </w:rPr>
        <w:t xml:space="preserve">оваренето и разтоварването на добитите оформени и неоформени блокове до площадката за готова продукция (в рамките на концесионната площ) ще се извършва с челен товарач, където ще се извършва продажбата на блоковете. </w:t>
      </w:r>
    </w:p>
    <w:p w:rsidR="00AD1647" w:rsidRPr="00C07C57" w:rsidRDefault="00AD1647" w:rsidP="00AD1647">
      <w:pPr>
        <w:pStyle w:val="ListParagraph"/>
        <w:numPr>
          <w:ilvl w:val="0"/>
          <w:numId w:val="2"/>
        </w:numPr>
        <w:jc w:val="both"/>
        <w:rPr>
          <w:rFonts w:ascii="Times New Roman" w:hAnsi="Times New Roman"/>
          <w:sz w:val="24"/>
          <w:lang w:val="bg-BG"/>
        </w:rPr>
      </w:pPr>
      <w:r w:rsidRPr="00C07C57">
        <w:rPr>
          <w:rFonts w:ascii="Times New Roman" w:hAnsi="Times New Roman"/>
          <w:sz w:val="24"/>
          <w:lang w:val="bg-BG"/>
        </w:rPr>
        <w:t xml:space="preserve">Рекултивационни работи – </w:t>
      </w:r>
      <w:r>
        <w:rPr>
          <w:rFonts w:ascii="Times New Roman" w:hAnsi="Times New Roman"/>
          <w:sz w:val="24"/>
          <w:lang w:val="bg-BG"/>
        </w:rPr>
        <w:t xml:space="preserve">Рекултивационни работи на бермите и откосите на кариерата се предвижда да се извършат след срока на концесията. В срока на концесията ще се извършва рекултивация на приключили площи от насипището за изветрял, напукан варовик и технологичен отпадък. </w:t>
      </w:r>
    </w:p>
    <w:p w:rsidR="00AD1647" w:rsidRDefault="00AD1647" w:rsidP="00AD1647">
      <w:pPr>
        <w:ind w:firstLine="720"/>
        <w:jc w:val="both"/>
        <w:rPr>
          <w:rFonts w:ascii="Times New Roman" w:hAnsi="Times New Roman"/>
          <w:sz w:val="24"/>
          <w:lang w:val="bg-BG"/>
        </w:rPr>
      </w:pPr>
      <w:r w:rsidRPr="00CD4E63">
        <w:rPr>
          <w:rFonts w:ascii="Times New Roman" w:hAnsi="Times New Roman"/>
          <w:sz w:val="24"/>
          <w:lang w:val="bg-BG"/>
        </w:rPr>
        <w:t>За извозване на добитите варовикови блокове ще се използва съществуващ общински асфалтов път, свързващ гр. Мездра със с. Царевец. От концесионната площ до асфалтовия път ще се стига по съществуващ черен път, които ще се укрепи и заздрави.</w:t>
      </w:r>
    </w:p>
    <w:p w:rsidR="00AD1647" w:rsidRDefault="00AD1647" w:rsidP="00AD1647">
      <w:pPr>
        <w:ind w:firstLine="720"/>
        <w:jc w:val="both"/>
        <w:rPr>
          <w:rFonts w:ascii="Times New Roman" w:hAnsi="Times New Roman"/>
          <w:sz w:val="24"/>
          <w:lang w:val="bg-BG"/>
        </w:rPr>
      </w:pPr>
      <w:r w:rsidRPr="00CD4E63">
        <w:rPr>
          <w:rFonts w:ascii="Times New Roman" w:hAnsi="Times New Roman"/>
          <w:sz w:val="24"/>
          <w:lang w:val="bg-BG"/>
        </w:rPr>
        <w:t>Електрозахранването на обекта първоначално ще се осигурява чрез електрогенератор, а при първа възможност ще бъде изграден трафопост с връзка към ел. мрежата.</w:t>
      </w:r>
    </w:p>
    <w:p w:rsidR="00AD1647" w:rsidRPr="00D11071" w:rsidRDefault="00AD1647" w:rsidP="00AD1647">
      <w:pPr>
        <w:ind w:firstLine="720"/>
        <w:jc w:val="both"/>
        <w:rPr>
          <w:rFonts w:ascii="Times New Roman" w:hAnsi="Times New Roman"/>
          <w:sz w:val="24"/>
          <w:lang w:val="bg-BG"/>
        </w:rPr>
      </w:pPr>
      <w:r w:rsidRPr="00D11071">
        <w:rPr>
          <w:rFonts w:ascii="Times New Roman" w:hAnsi="Times New Roman"/>
          <w:sz w:val="24"/>
          <w:lang w:val="bg-BG"/>
        </w:rPr>
        <w:t>Не се предвижда изграждане на водоснабдителна инсталация до обекта.</w:t>
      </w:r>
    </w:p>
    <w:p w:rsidR="00AD1647" w:rsidRPr="00EE152E" w:rsidRDefault="00AD1647" w:rsidP="00AD1647">
      <w:pPr>
        <w:ind w:firstLine="720"/>
        <w:jc w:val="both"/>
        <w:rPr>
          <w:rFonts w:ascii="Times New Roman" w:hAnsi="Times New Roman"/>
          <w:sz w:val="24"/>
          <w:lang w:val="bg-BG"/>
        </w:rPr>
      </w:pPr>
      <w:r w:rsidRPr="00D11071">
        <w:rPr>
          <w:rFonts w:ascii="Times New Roman" w:hAnsi="Times New Roman"/>
          <w:sz w:val="24"/>
          <w:lang w:val="bg-BG"/>
        </w:rPr>
        <w:t xml:space="preserve">За охлаждане на диамантените въжени резачки и за оросяване на пътищата и площадките на кариерата се предвижда да се доставя вода </w:t>
      </w:r>
      <w:r>
        <w:rPr>
          <w:rFonts w:ascii="Times New Roman" w:hAnsi="Times New Roman"/>
          <w:sz w:val="24"/>
          <w:lang w:val="bg-BG"/>
        </w:rPr>
        <w:t xml:space="preserve">от яз. „Дъбника“ </w:t>
      </w:r>
      <w:r w:rsidRPr="00D11071">
        <w:rPr>
          <w:rFonts w:ascii="Times New Roman" w:hAnsi="Times New Roman"/>
          <w:sz w:val="24"/>
          <w:lang w:val="bg-BG"/>
        </w:rPr>
        <w:t>с цистерн</w:t>
      </w:r>
      <w:r>
        <w:rPr>
          <w:rFonts w:ascii="Times New Roman" w:hAnsi="Times New Roman"/>
          <w:sz w:val="24"/>
          <w:lang w:val="bg-BG"/>
        </w:rPr>
        <w:t xml:space="preserve">и на възложителя от </w:t>
      </w:r>
      <w:r w:rsidRPr="00D11071">
        <w:rPr>
          <w:rFonts w:ascii="Times New Roman" w:hAnsi="Times New Roman"/>
          <w:sz w:val="24"/>
          <w:lang w:val="bg-BG"/>
        </w:rPr>
        <w:t>20 м</w:t>
      </w:r>
      <w:r w:rsidRPr="00EE152E">
        <w:rPr>
          <w:rFonts w:ascii="Times New Roman" w:hAnsi="Times New Roman"/>
          <w:sz w:val="24"/>
          <w:vertAlign w:val="superscript"/>
          <w:lang w:val="bg-BG"/>
        </w:rPr>
        <w:t xml:space="preserve">3 </w:t>
      </w:r>
      <w:r>
        <w:rPr>
          <w:rFonts w:ascii="Times New Roman" w:hAnsi="Times New Roman"/>
          <w:sz w:val="24"/>
          <w:lang w:val="bg-BG"/>
        </w:rPr>
        <w:t>, за което има сключен договор за доставка на вода за промишлени нужди №17/06.03.2024г</w:t>
      </w:r>
      <w:r w:rsidRPr="00D11071">
        <w:rPr>
          <w:rFonts w:ascii="Times New Roman" w:hAnsi="Times New Roman"/>
          <w:sz w:val="24"/>
          <w:lang w:val="bg-BG"/>
        </w:rPr>
        <w:t>.</w:t>
      </w:r>
      <w:r w:rsidRPr="00EE152E">
        <w:t xml:space="preserve"> </w:t>
      </w:r>
      <w:r w:rsidRPr="00EE152E">
        <w:rPr>
          <w:rFonts w:ascii="Times New Roman" w:hAnsi="Times New Roman"/>
          <w:sz w:val="24"/>
          <w:lang w:val="bg-BG"/>
        </w:rPr>
        <w:t>с „Напоителни системи“ ЕАД – клон „Мизия“</w:t>
      </w:r>
      <w:r>
        <w:rPr>
          <w:rFonts w:ascii="Times New Roman" w:hAnsi="Times New Roman"/>
          <w:sz w:val="24"/>
          <w:lang w:val="bg-BG"/>
        </w:rPr>
        <w:t>.</w:t>
      </w:r>
    </w:p>
    <w:p w:rsidR="00AD1647" w:rsidRPr="00B33952" w:rsidRDefault="00AD1647" w:rsidP="00AD1647">
      <w:pPr>
        <w:ind w:firstLine="720"/>
        <w:jc w:val="both"/>
        <w:rPr>
          <w:rFonts w:ascii="Times New Roman" w:hAnsi="Times New Roman"/>
          <w:color w:val="FF0000"/>
          <w:sz w:val="24"/>
          <w:lang w:val="bg-BG"/>
        </w:rPr>
      </w:pPr>
      <w:r w:rsidRPr="00D11071">
        <w:rPr>
          <w:rFonts w:ascii="Times New Roman" w:hAnsi="Times New Roman"/>
          <w:sz w:val="24"/>
          <w:lang w:val="bg-BG"/>
        </w:rPr>
        <w:t>За питейни нужди ще се използва бутилирана вода.</w:t>
      </w:r>
    </w:p>
    <w:p w:rsidR="00AD1647" w:rsidRPr="00C51BB1" w:rsidRDefault="00AD1647" w:rsidP="00AD1647">
      <w:pPr>
        <w:ind w:firstLine="720"/>
        <w:jc w:val="both"/>
        <w:rPr>
          <w:rFonts w:ascii="Times New Roman" w:hAnsi="Times New Roman"/>
          <w:sz w:val="24"/>
          <w:lang w:val="bg-BG"/>
        </w:rPr>
      </w:pPr>
      <w:r w:rsidRPr="00C51BB1">
        <w:rPr>
          <w:rFonts w:ascii="Times New Roman" w:hAnsi="Times New Roman"/>
          <w:sz w:val="24"/>
          <w:lang w:val="bg-BG"/>
        </w:rPr>
        <w:t xml:space="preserve">Производствени отпадъчни води няма да се формират. </w:t>
      </w:r>
    </w:p>
    <w:p w:rsidR="00AD1647" w:rsidRPr="00D11071" w:rsidRDefault="00AD1647" w:rsidP="00AD1647">
      <w:pPr>
        <w:ind w:firstLine="720"/>
        <w:jc w:val="both"/>
        <w:rPr>
          <w:rFonts w:ascii="Times New Roman" w:hAnsi="Times New Roman"/>
          <w:sz w:val="24"/>
          <w:lang w:val="bg-BG"/>
        </w:rPr>
      </w:pPr>
      <w:r w:rsidRPr="00D11071">
        <w:rPr>
          <w:rFonts w:ascii="Times New Roman" w:hAnsi="Times New Roman"/>
          <w:sz w:val="24"/>
          <w:lang w:val="bg-BG"/>
        </w:rPr>
        <w:t xml:space="preserve">За битово обслужване на работещите на обекта са предвидени фургони и химически тоалетни, които периодично ще се почистват от специализирана фирма на база сключен договор. </w:t>
      </w:r>
    </w:p>
    <w:p w:rsidR="00AD1647" w:rsidRDefault="00AD1647" w:rsidP="00AD1647">
      <w:pPr>
        <w:ind w:firstLine="720"/>
        <w:jc w:val="both"/>
        <w:rPr>
          <w:rFonts w:ascii="Times New Roman" w:hAnsi="Times New Roman"/>
          <w:sz w:val="24"/>
          <w:lang w:val="bg-BG"/>
        </w:rPr>
      </w:pPr>
      <w:r w:rsidRPr="00CD4E63">
        <w:rPr>
          <w:rFonts w:ascii="Times New Roman" w:hAnsi="Times New Roman"/>
          <w:sz w:val="24"/>
          <w:lang w:val="bg-BG"/>
        </w:rPr>
        <w:t>За кариерната техника ще се доставя дизелово гориво чрез мобилна цистерна.</w:t>
      </w:r>
    </w:p>
    <w:p w:rsidR="00AD1647" w:rsidRPr="00AD1647" w:rsidRDefault="00AD1647" w:rsidP="00AD1647">
      <w:pPr>
        <w:jc w:val="both"/>
        <w:rPr>
          <w:rFonts w:ascii="Times New Roman" w:hAnsi="Times New Roman"/>
          <w:color w:val="C00000"/>
          <w:sz w:val="24"/>
          <w:lang w:val="bg-BG"/>
        </w:rPr>
      </w:pPr>
      <w:r>
        <w:rPr>
          <w:rFonts w:ascii="Times New Roman" w:hAnsi="Times New Roman"/>
          <w:sz w:val="24"/>
          <w:lang w:val="bg-BG"/>
        </w:rPr>
        <w:tab/>
        <w:t>Генерираните при реализацията на ИП отпадъци ще се предават на лица притежаващи необходимите документи по чл. 35 от Зак</w:t>
      </w:r>
      <w:r>
        <w:rPr>
          <w:rFonts w:ascii="Times New Roman" w:hAnsi="Times New Roman"/>
          <w:sz w:val="24"/>
          <w:lang w:val="bg-BG"/>
        </w:rPr>
        <w:t>она за управление на отпадъците.</w:t>
      </w:r>
    </w:p>
    <w:p w:rsidR="007F6AA4" w:rsidRDefault="007F6AA4" w:rsidP="0098619F">
      <w:pPr>
        <w:ind w:firstLine="709"/>
        <w:jc w:val="both"/>
        <w:rPr>
          <w:rFonts w:ascii="Times New Roman" w:hAnsi="Times New Roman"/>
          <w:sz w:val="24"/>
          <w:szCs w:val="24"/>
          <w:lang w:val="bg-BG"/>
        </w:rPr>
      </w:pPr>
      <w:r w:rsidRPr="007F6AA4">
        <w:rPr>
          <w:rFonts w:ascii="Times New Roman" w:hAnsi="Times New Roman"/>
          <w:sz w:val="24"/>
          <w:szCs w:val="24"/>
          <w:lang w:val="bg-BG"/>
        </w:rPr>
        <w:t xml:space="preserve">Така заявено инвестиционното предложение попада в обхвата на т. 2, б. „а” - “кариери, открити рудници и добив на торф (невключени в приложение № 1)” на Приложение №2 на ЗООС, и съгласно нормативните разпоредби </w:t>
      </w:r>
      <w:r w:rsidRPr="007F6AA4">
        <w:rPr>
          <w:rFonts w:ascii="Times New Roman" w:hAnsi="Times New Roman"/>
          <w:b/>
          <w:sz w:val="24"/>
          <w:szCs w:val="24"/>
          <w:lang w:val="bg-BG"/>
        </w:rPr>
        <w:t>подлежи на процедура по преценяване на необходимостта от извършване на оценка на въздействието на околната среда</w:t>
      </w:r>
      <w:r w:rsidRPr="007F6AA4">
        <w:rPr>
          <w:rFonts w:ascii="Times New Roman" w:hAnsi="Times New Roman"/>
          <w:sz w:val="24"/>
          <w:szCs w:val="24"/>
          <w:lang w:val="bg-BG"/>
        </w:rPr>
        <w:t xml:space="preserve"> (ОВОС). Съгласно чл.93, ал.3 от ЗООС компетентен орган за произнасяне с решение е директорът на РИОСВ - Враца.</w:t>
      </w:r>
    </w:p>
    <w:p w:rsidR="00036335" w:rsidRPr="004A7195" w:rsidRDefault="00AD1647" w:rsidP="00036335">
      <w:pPr>
        <w:ind w:firstLine="720"/>
        <w:jc w:val="both"/>
        <w:rPr>
          <w:rFonts w:ascii="Times New Roman" w:hAnsi="Times New Roman"/>
          <w:sz w:val="24"/>
          <w:szCs w:val="24"/>
          <w:lang w:val="bg-BG"/>
        </w:rPr>
      </w:pPr>
      <w:r>
        <w:rPr>
          <w:rFonts w:ascii="Times New Roman" w:hAnsi="Times New Roman"/>
          <w:sz w:val="24"/>
          <w:szCs w:val="24"/>
          <w:lang w:val="bg-BG"/>
        </w:rPr>
        <w:t>С</w:t>
      </w:r>
      <w:r w:rsidR="00036335" w:rsidRPr="004A7195">
        <w:rPr>
          <w:rFonts w:ascii="Times New Roman" w:hAnsi="Times New Roman"/>
          <w:sz w:val="24"/>
          <w:szCs w:val="24"/>
          <w:lang w:val="bg-BG"/>
        </w:rPr>
        <w:t xml:space="preserve">ъгласно изискванията на чл.4а, ал.1 от Наредбата за ОВОС постъпилата документация е изпратена на директора на Басейнова дирекция Дунавски район – Плевен </w:t>
      </w:r>
      <w:r w:rsidR="00036335" w:rsidRPr="004A7195">
        <w:rPr>
          <w:rFonts w:ascii="Times New Roman" w:hAnsi="Times New Roman"/>
          <w:sz w:val="24"/>
          <w:szCs w:val="24"/>
          <w:lang w:val="bg-BG"/>
        </w:rPr>
        <w:lastRenderedPageBreak/>
        <w:t xml:space="preserve">(БДДР – Плевен) за изразяване на становище, относно допустимостта на инвестиционното предложение спрямо режимите, определени в действащите планове за управление на речните басейни (ПУРБ) и планове за управление на риска от наводнения (ПУРН). </w:t>
      </w:r>
    </w:p>
    <w:p w:rsidR="00045BAE" w:rsidRPr="004A7195" w:rsidRDefault="00036335" w:rsidP="00045BAE">
      <w:pPr>
        <w:jc w:val="both"/>
        <w:rPr>
          <w:rFonts w:ascii="Times New Roman" w:hAnsi="Times New Roman"/>
          <w:sz w:val="24"/>
          <w:szCs w:val="24"/>
          <w:lang w:val="bg-BG"/>
        </w:rPr>
      </w:pPr>
      <w:r w:rsidRPr="004A7195">
        <w:rPr>
          <w:rFonts w:ascii="Times New Roman" w:hAnsi="Times New Roman"/>
          <w:sz w:val="24"/>
          <w:szCs w:val="24"/>
          <w:lang w:val="bg-BG"/>
        </w:rPr>
        <w:t xml:space="preserve"> </w:t>
      </w:r>
      <w:r w:rsidRPr="004A7195">
        <w:rPr>
          <w:rFonts w:ascii="Times New Roman" w:hAnsi="Times New Roman"/>
          <w:sz w:val="24"/>
          <w:szCs w:val="24"/>
          <w:lang w:val="bg-BG"/>
        </w:rPr>
        <w:tab/>
      </w:r>
      <w:r w:rsidR="00045BAE" w:rsidRPr="004A7195">
        <w:rPr>
          <w:rFonts w:ascii="Times New Roman" w:hAnsi="Times New Roman"/>
          <w:sz w:val="24"/>
          <w:szCs w:val="24"/>
          <w:lang w:val="bg-BG"/>
        </w:rPr>
        <w:t>Предвид полученото в РИОСВ – Враца становище на БДДР – Плевен с изх.</w:t>
      </w:r>
      <w:r w:rsidR="00AD1647" w:rsidRPr="00AD1647">
        <w:t xml:space="preserve"> </w:t>
      </w:r>
      <w:r w:rsidR="00AD1647">
        <w:rPr>
          <w:rFonts w:ascii="Times New Roman" w:hAnsi="Times New Roman"/>
          <w:sz w:val="24"/>
          <w:szCs w:val="24"/>
          <w:lang w:val="bg-BG"/>
        </w:rPr>
        <w:t>№ ПУ-01-100-(3)/29.03.2024г.</w:t>
      </w:r>
      <w:r w:rsidR="00045BAE" w:rsidRPr="004A7195">
        <w:rPr>
          <w:rFonts w:ascii="Times New Roman" w:hAnsi="Times New Roman"/>
          <w:sz w:val="24"/>
          <w:szCs w:val="24"/>
          <w:lang w:val="bg-BG"/>
        </w:rPr>
        <w:t>:</w:t>
      </w:r>
    </w:p>
    <w:p w:rsidR="00AD1647" w:rsidRPr="007B4606" w:rsidRDefault="00AD1647" w:rsidP="00AD1647">
      <w:pPr>
        <w:numPr>
          <w:ilvl w:val="0"/>
          <w:numId w:val="3"/>
        </w:numPr>
        <w:jc w:val="both"/>
        <w:rPr>
          <w:rFonts w:ascii="Times New Roman" w:hAnsi="Times New Roman"/>
          <w:sz w:val="24"/>
          <w:szCs w:val="24"/>
          <w:lang w:val="bg-BG"/>
        </w:rPr>
      </w:pPr>
      <w:r w:rsidRPr="00E206CE">
        <w:rPr>
          <w:rFonts w:ascii="Times New Roman" w:hAnsi="Times New Roman"/>
          <w:sz w:val="24"/>
          <w:szCs w:val="24"/>
          <w:lang w:val="bg-BG"/>
        </w:rPr>
        <w:t xml:space="preserve">ИП е допустимо спрямо </w:t>
      </w:r>
      <w:r>
        <w:rPr>
          <w:rFonts w:ascii="Times New Roman" w:hAnsi="Times New Roman"/>
          <w:sz w:val="24"/>
          <w:szCs w:val="24"/>
          <w:lang w:val="bg-BG"/>
        </w:rPr>
        <w:t xml:space="preserve">целите и мерките за опазване на околната среда, заложени в </w:t>
      </w:r>
      <w:r w:rsidRPr="00E206CE">
        <w:rPr>
          <w:rFonts w:ascii="Times New Roman" w:hAnsi="Times New Roman"/>
          <w:sz w:val="24"/>
          <w:szCs w:val="24"/>
          <w:lang w:val="bg-BG"/>
        </w:rPr>
        <w:t xml:space="preserve">ПУРБ </w:t>
      </w:r>
      <w:r w:rsidRPr="00A1118D">
        <w:rPr>
          <w:rFonts w:ascii="Times New Roman" w:hAnsi="Times New Roman"/>
          <w:sz w:val="24"/>
          <w:szCs w:val="24"/>
          <w:lang w:val="bg-BG"/>
        </w:rPr>
        <w:t>2016 – 2021г.</w:t>
      </w:r>
      <w:r w:rsidRPr="00E206CE">
        <w:rPr>
          <w:rFonts w:ascii="Times New Roman" w:hAnsi="Times New Roman"/>
          <w:sz w:val="24"/>
          <w:szCs w:val="24"/>
          <w:lang w:val="bg-BG"/>
        </w:rPr>
        <w:t>, при спазван</w:t>
      </w:r>
      <w:r>
        <w:rPr>
          <w:rFonts w:ascii="Times New Roman" w:hAnsi="Times New Roman"/>
          <w:sz w:val="24"/>
          <w:szCs w:val="24"/>
          <w:lang w:val="bg-BG"/>
        </w:rPr>
        <w:t>е на мерките посочени в т. 1.1.5</w:t>
      </w:r>
      <w:r w:rsidRPr="00E206CE">
        <w:rPr>
          <w:rFonts w:ascii="Times New Roman" w:hAnsi="Times New Roman"/>
          <w:sz w:val="24"/>
          <w:szCs w:val="24"/>
          <w:lang w:val="bg-BG"/>
        </w:rPr>
        <w:t>. от становището</w:t>
      </w:r>
      <w:r>
        <w:rPr>
          <w:rFonts w:ascii="Times New Roman" w:hAnsi="Times New Roman"/>
          <w:sz w:val="24"/>
          <w:szCs w:val="24"/>
          <w:lang w:val="bg-BG"/>
        </w:rPr>
        <w:t xml:space="preserve">. </w:t>
      </w:r>
    </w:p>
    <w:p w:rsidR="00AD1647" w:rsidRDefault="00AD1647" w:rsidP="00AD1647">
      <w:pPr>
        <w:numPr>
          <w:ilvl w:val="0"/>
          <w:numId w:val="3"/>
        </w:numPr>
        <w:jc w:val="both"/>
        <w:rPr>
          <w:rFonts w:ascii="Times New Roman" w:hAnsi="Times New Roman"/>
          <w:sz w:val="24"/>
          <w:szCs w:val="24"/>
          <w:lang w:val="bg-BG"/>
        </w:rPr>
      </w:pPr>
      <w:r w:rsidRPr="000E0597">
        <w:rPr>
          <w:rFonts w:ascii="Times New Roman" w:hAnsi="Times New Roman"/>
          <w:sz w:val="24"/>
          <w:szCs w:val="24"/>
          <w:lang w:val="bg-BG"/>
        </w:rPr>
        <w:t xml:space="preserve">ИП е допустимо спрямо </w:t>
      </w:r>
      <w:r>
        <w:rPr>
          <w:rFonts w:ascii="Times New Roman" w:hAnsi="Times New Roman"/>
          <w:sz w:val="24"/>
          <w:szCs w:val="24"/>
          <w:lang w:val="bg-BG"/>
        </w:rPr>
        <w:t xml:space="preserve">мерките заложени в </w:t>
      </w:r>
      <w:r w:rsidRPr="000E0597">
        <w:rPr>
          <w:rFonts w:ascii="Times New Roman" w:hAnsi="Times New Roman"/>
          <w:sz w:val="24"/>
          <w:szCs w:val="24"/>
          <w:lang w:val="bg-BG"/>
        </w:rPr>
        <w:t>ПУРН 2022 – 2027</w:t>
      </w:r>
      <w:r>
        <w:rPr>
          <w:rFonts w:ascii="Times New Roman" w:hAnsi="Times New Roman"/>
          <w:sz w:val="24"/>
          <w:szCs w:val="24"/>
          <w:lang w:val="bg-BG"/>
        </w:rPr>
        <w:t>г. в Дунавски район.</w:t>
      </w:r>
    </w:p>
    <w:p w:rsidR="00AD1647" w:rsidRPr="00A1118D" w:rsidRDefault="00AD1647" w:rsidP="00AD1647">
      <w:pPr>
        <w:numPr>
          <w:ilvl w:val="0"/>
          <w:numId w:val="3"/>
        </w:numPr>
        <w:jc w:val="both"/>
        <w:rPr>
          <w:rFonts w:ascii="Times New Roman" w:hAnsi="Times New Roman"/>
          <w:sz w:val="24"/>
          <w:szCs w:val="24"/>
          <w:lang w:val="bg-BG"/>
        </w:rPr>
      </w:pPr>
      <w:r>
        <w:rPr>
          <w:rFonts w:ascii="Times New Roman" w:hAnsi="Times New Roman"/>
          <w:sz w:val="24"/>
          <w:szCs w:val="24"/>
          <w:lang w:val="bg-BG"/>
        </w:rPr>
        <w:t xml:space="preserve">Реализирането на </w:t>
      </w:r>
      <w:r w:rsidRPr="00A1118D">
        <w:rPr>
          <w:rFonts w:ascii="Times New Roman" w:hAnsi="Times New Roman"/>
          <w:sz w:val="24"/>
          <w:szCs w:val="24"/>
          <w:lang w:val="bg-BG"/>
        </w:rPr>
        <w:t xml:space="preserve">ИП </w:t>
      </w:r>
      <w:r>
        <w:rPr>
          <w:rFonts w:ascii="Times New Roman" w:hAnsi="Times New Roman"/>
          <w:sz w:val="24"/>
          <w:szCs w:val="24"/>
          <w:lang w:val="bg-BG"/>
        </w:rPr>
        <w:t xml:space="preserve">не се очаква да окаже значително въздействие </w:t>
      </w:r>
      <w:r w:rsidRPr="00A1118D">
        <w:rPr>
          <w:rFonts w:ascii="Times New Roman" w:hAnsi="Times New Roman"/>
          <w:sz w:val="24"/>
          <w:szCs w:val="24"/>
          <w:lang w:val="bg-BG"/>
        </w:rPr>
        <w:t>върху водите</w:t>
      </w:r>
      <w:r>
        <w:rPr>
          <w:rFonts w:ascii="Times New Roman" w:hAnsi="Times New Roman"/>
          <w:sz w:val="24"/>
          <w:szCs w:val="24"/>
          <w:lang w:val="bg-BG"/>
        </w:rPr>
        <w:t xml:space="preserve"> и водните екосистеми</w:t>
      </w:r>
      <w:r w:rsidRPr="00A1118D">
        <w:rPr>
          <w:rFonts w:ascii="Times New Roman" w:hAnsi="Times New Roman"/>
          <w:sz w:val="24"/>
          <w:szCs w:val="24"/>
          <w:lang w:val="bg-BG"/>
        </w:rPr>
        <w:t>, се спазва</w:t>
      </w:r>
      <w:r>
        <w:rPr>
          <w:rFonts w:ascii="Times New Roman" w:hAnsi="Times New Roman"/>
          <w:sz w:val="24"/>
          <w:szCs w:val="24"/>
          <w:lang w:val="bg-BG"/>
        </w:rPr>
        <w:t>не на</w:t>
      </w:r>
      <w:r w:rsidRPr="00A1118D">
        <w:rPr>
          <w:rFonts w:ascii="Times New Roman" w:hAnsi="Times New Roman"/>
          <w:sz w:val="24"/>
          <w:szCs w:val="24"/>
          <w:lang w:val="bg-BG"/>
        </w:rPr>
        <w:t xml:space="preserve"> мерките</w:t>
      </w:r>
      <w:r>
        <w:rPr>
          <w:rFonts w:ascii="Times New Roman" w:hAnsi="Times New Roman"/>
          <w:sz w:val="24"/>
          <w:szCs w:val="24"/>
          <w:lang w:val="bg-BG"/>
        </w:rPr>
        <w:t xml:space="preserve"> посочени в т. 1. </w:t>
      </w:r>
      <w:r w:rsidRPr="00A1118D">
        <w:rPr>
          <w:rFonts w:ascii="Times New Roman" w:hAnsi="Times New Roman"/>
          <w:sz w:val="24"/>
          <w:szCs w:val="24"/>
          <w:lang w:val="bg-BG"/>
        </w:rPr>
        <w:t>и нормативните изисквания посочени в т. 2 от горецитираното становище.</w:t>
      </w:r>
    </w:p>
    <w:p w:rsidR="00AD1647" w:rsidRDefault="00AD1647" w:rsidP="007F6AA4">
      <w:pPr>
        <w:jc w:val="both"/>
        <w:rPr>
          <w:rFonts w:ascii="Times New Roman" w:hAnsi="Times New Roman"/>
          <w:sz w:val="24"/>
          <w:szCs w:val="24"/>
          <w:lang w:val="bg-BG"/>
        </w:rPr>
      </w:pPr>
    </w:p>
    <w:p w:rsidR="00045BAE" w:rsidRDefault="00045BAE" w:rsidP="00036335">
      <w:pPr>
        <w:jc w:val="both"/>
        <w:rPr>
          <w:rFonts w:ascii="Times New Roman" w:hAnsi="Times New Roman"/>
          <w:sz w:val="24"/>
          <w:szCs w:val="24"/>
          <w:lang w:val="bg-BG"/>
        </w:rPr>
      </w:pPr>
    </w:p>
    <w:p w:rsidR="0098619F" w:rsidRPr="0098619F" w:rsidRDefault="0098619F" w:rsidP="0098619F">
      <w:pPr>
        <w:ind w:firstLine="720"/>
        <w:jc w:val="both"/>
        <w:rPr>
          <w:rFonts w:ascii="Times New Roman" w:hAnsi="Times New Roman"/>
          <w:b/>
          <w:sz w:val="24"/>
          <w:szCs w:val="24"/>
          <w:lang w:val="bg-BG"/>
        </w:rPr>
      </w:pPr>
      <w:r w:rsidRPr="0098619F">
        <w:rPr>
          <w:rFonts w:ascii="Times New Roman" w:hAnsi="Times New Roman"/>
          <w:b/>
          <w:sz w:val="24"/>
          <w:szCs w:val="24"/>
          <w:lang w:val="bg-BG"/>
        </w:rPr>
        <w:t xml:space="preserve">ІІ. По отношение на изискванията на чл.31 от Закона за биологичното разнообразие (ЗБР): </w:t>
      </w:r>
    </w:p>
    <w:p w:rsidR="0098619F" w:rsidRPr="0098619F" w:rsidRDefault="0098619F" w:rsidP="0098619F">
      <w:pPr>
        <w:jc w:val="both"/>
        <w:rPr>
          <w:rFonts w:ascii="Times New Roman" w:hAnsi="Times New Roman"/>
          <w:sz w:val="24"/>
          <w:szCs w:val="24"/>
          <w:lang w:val="ru-RU"/>
        </w:rPr>
      </w:pPr>
    </w:p>
    <w:p w:rsidR="00AD1647" w:rsidRDefault="00AD1647" w:rsidP="00AD1647">
      <w:pPr>
        <w:ind w:firstLine="720"/>
        <w:jc w:val="both"/>
        <w:rPr>
          <w:rFonts w:ascii="Times New Roman" w:hAnsi="Times New Roman"/>
          <w:sz w:val="24"/>
          <w:szCs w:val="24"/>
          <w:lang w:val="bg-BG"/>
        </w:rPr>
      </w:pPr>
      <w:r>
        <w:rPr>
          <w:rFonts w:ascii="Times New Roman" w:hAnsi="Times New Roman"/>
          <w:sz w:val="24"/>
          <w:szCs w:val="24"/>
          <w:lang w:val="bg-BG"/>
        </w:rPr>
        <w:t xml:space="preserve"> </w:t>
      </w:r>
      <w:r w:rsidRPr="00901086">
        <w:rPr>
          <w:rFonts w:ascii="Times New Roman" w:hAnsi="Times New Roman"/>
          <w:sz w:val="24"/>
          <w:szCs w:val="24"/>
          <w:lang w:val="bg-BG"/>
        </w:rPr>
        <w:t xml:space="preserve">След направената проверка за местоположението на концесионния контур, се установи, че ИП </w:t>
      </w:r>
      <w:r w:rsidRPr="00B71074">
        <w:rPr>
          <w:rFonts w:ascii="Times New Roman" w:hAnsi="Times New Roman"/>
          <w:b/>
          <w:sz w:val="24"/>
          <w:szCs w:val="24"/>
          <w:lang w:val="bg-BG"/>
        </w:rPr>
        <w:t>не засяга</w:t>
      </w:r>
      <w:r w:rsidRPr="00901086">
        <w:rPr>
          <w:rFonts w:ascii="Times New Roman" w:hAnsi="Times New Roman"/>
          <w:sz w:val="24"/>
          <w:szCs w:val="24"/>
          <w:lang w:val="bg-BG"/>
        </w:rPr>
        <w:t xml:space="preserve"> защитени територии по смисъла на Закона за защитените територии /ЗЗТ/ и </w:t>
      </w:r>
      <w:r w:rsidRPr="00B71074">
        <w:rPr>
          <w:rFonts w:ascii="Times New Roman" w:hAnsi="Times New Roman"/>
          <w:b/>
          <w:sz w:val="24"/>
          <w:szCs w:val="24"/>
          <w:lang w:val="bg-BG"/>
        </w:rPr>
        <w:t>не попада</w:t>
      </w:r>
      <w:r w:rsidRPr="00901086">
        <w:rPr>
          <w:rFonts w:ascii="Times New Roman" w:hAnsi="Times New Roman"/>
          <w:sz w:val="24"/>
          <w:szCs w:val="24"/>
          <w:lang w:val="bg-BG"/>
        </w:rPr>
        <w:t xml:space="preserve">  в обхвата на защитени зони съгласно Закона за биологичното разнообразие /ЗБР/. </w:t>
      </w:r>
    </w:p>
    <w:p w:rsidR="00AD1647" w:rsidRDefault="00AD1647" w:rsidP="00AD1647">
      <w:pPr>
        <w:ind w:firstLine="720"/>
        <w:jc w:val="both"/>
        <w:rPr>
          <w:rFonts w:ascii="Times New Roman" w:hAnsi="Times New Roman"/>
          <w:sz w:val="24"/>
          <w:szCs w:val="24"/>
          <w:lang w:val="bg-BG"/>
        </w:rPr>
      </w:pPr>
      <w:r w:rsidRPr="00901086">
        <w:rPr>
          <w:rFonts w:ascii="Times New Roman" w:hAnsi="Times New Roman"/>
          <w:sz w:val="24"/>
          <w:szCs w:val="24"/>
          <w:lang w:val="bg-BG"/>
        </w:rPr>
        <w:t xml:space="preserve">Най-близо разположената защитена зона, на 3,400 км е BG0000601 "Каленска пещера" за опазване на природните местообитания и на дивата флора и фауна, включена в списъка със защитени зони, приет с Решение №122/02.03.2007г на Министерски съвет (обн. ДВ бр.21/2007г.). </w:t>
      </w:r>
    </w:p>
    <w:p w:rsidR="0098619F" w:rsidRPr="0098619F" w:rsidRDefault="0098619F" w:rsidP="00EC3BC9">
      <w:pPr>
        <w:ind w:firstLine="709"/>
        <w:jc w:val="both"/>
        <w:rPr>
          <w:rFonts w:ascii="Times New Roman" w:hAnsi="Times New Roman"/>
          <w:sz w:val="24"/>
          <w:szCs w:val="24"/>
          <w:lang w:val="bg-BG"/>
        </w:rPr>
      </w:pPr>
      <w:r w:rsidRPr="0098619F">
        <w:rPr>
          <w:rFonts w:ascii="Times New Roman" w:hAnsi="Times New Roman"/>
          <w:sz w:val="24"/>
          <w:szCs w:val="24"/>
          <w:lang w:val="bg-BG"/>
        </w:rPr>
        <w:t xml:space="preserve">ИП попада в обхвата на чл.2, ал.1, т.1 от </w:t>
      </w:r>
      <w:r w:rsidRPr="0098619F">
        <w:rPr>
          <w:rFonts w:ascii="Times New Roman" w:hAnsi="Times New Roman"/>
          <w:i/>
          <w:sz w:val="24"/>
          <w:szCs w:val="24"/>
          <w:lang w:val="bg-BG"/>
        </w:rPr>
        <w:t>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r w:rsidRPr="0098619F">
        <w:rPr>
          <w:rFonts w:ascii="Times New Roman" w:hAnsi="Times New Roman"/>
          <w:sz w:val="24"/>
          <w:szCs w:val="24"/>
          <w:lang w:val="bg-BG"/>
        </w:rPr>
        <w:t xml:space="preserve"> (Наредбата за ОС) и подлежи на процедура по </w:t>
      </w:r>
      <w:r w:rsidRPr="0098619F">
        <w:rPr>
          <w:rFonts w:ascii="Times New Roman" w:hAnsi="Times New Roman"/>
          <w:b/>
          <w:sz w:val="24"/>
          <w:szCs w:val="24"/>
          <w:lang w:val="bg-BG"/>
        </w:rPr>
        <w:t>оценка за съвместимостта му</w:t>
      </w:r>
      <w:r w:rsidRPr="0098619F">
        <w:rPr>
          <w:rFonts w:ascii="Times New Roman" w:hAnsi="Times New Roman"/>
          <w:sz w:val="24"/>
          <w:szCs w:val="24"/>
          <w:lang w:val="bg-BG"/>
        </w:rPr>
        <w:t xml:space="preserve"> с предмета и целите на опазване на защитените зони, по реда н</w:t>
      </w:r>
      <w:bookmarkStart w:id="0" w:name="_GoBack"/>
      <w:bookmarkEnd w:id="0"/>
      <w:r w:rsidRPr="0098619F">
        <w:rPr>
          <w:rFonts w:ascii="Times New Roman" w:hAnsi="Times New Roman"/>
          <w:sz w:val="24"/>
          <w:szCs w:val="24"/>
          <w:lang w:val="bg-BG"/>
        </w:rPr>
        <w:t>а чл.31, ал.4, във връзка с ал.1 от ЗБР, която се провежда чрез процедурата по преценяване на необходимостта от извършване на ОВОС.</w:t>
      </w:r>
    </w:p>
    <w:p w:rsidR="0098619F" w:rsidRPr="0098619F" w:rsidRDefault="0098619F" w:rsidP="0098619F">
      <w:pPr>
        <w:ind w:firstLine="709"/>
        <w:jc w:val="both"/>
        <w:rPr>
          <w:rFonts w:ascii="Times New Roman" w:hAnsi="Times New Roman"/>
          <w:sz w:val="24"/>
          <w:szCs w:val="24"/>
          <w:lang w:val="bg-BG"/>
        </w:rPr>
      </w:pPr>
      <w:r w:rsidRPr="0098619F">
        <w:rPr>
          <w:rFonts w:ascii="Times New Roman" w:hAnsi="Times New Roman"/>
          <w:sz w:val="24"/>
          <w:szCs w:val="24"/>
          <w:lang w:val="bg-BG"/>
        </w:rPr>
        <w:t xml:space="preserve">Копие от писмото е </w:t>
      </w:r>
      <w:r w:rsidR="00EC3BC9">
        <w:rPr>
          <w:rFonts w:ascii="Times New Roman" w:hAnsi="Times New Roman"/>
          <w:sz w:val="24"/>
          <w:szCs w:val="24"/>
          <w:lang w:val="bg-BG"/>
        </w:rPr>
        <w:t xml:space="preserve">изпратено до </w:t>
      </w:r>
      <w:r w:rsidR="007F6AA4">
        <w:rPr>
          <w:rFonts w:ascii="Times New Roman" w:hAnsi="Times New Roman"/>
          <w:sz w:val="24"/>
          <w:szCs w:val="24"/>
          <w:lang w:val="bg-BG"/>
        </w:rPr>
        <w:t xml:space="preserve">Министерство на енергетиката, </w:t>
      </w:r>
      <w:r w:rsidR="00EC3BC9">
        <w:rPr>
          <w:rFonts w:ascii="Times New Roman" w:hAnsi="Times New Roman"/>
          <w:sz w:val="24"/>
          <w:szCs w:val="24"/>
          <w:lang w:val="bg-BG"/>
        </w:rPr>
        <w:t>общ</w:t>
      </w:r>
      <w:r w:rsidR="007F6AA4">
        <w:rPr>
          <w:rFonts w:ascii="Times New Roman" w:hAnsi="Times New Roman"/>
          <w:sz w:val="24"/>
          <w:szCs w:val="24"/>
          <w:lang w:val="bg-BG"/>
        </w:rPr>
        <w:t>ина Мездра, кметство с. Царевец</w:t>
      </w:r>
      <w:r w:rsidR="00AD1647">
        <w:rPr>
          <w:rFonts w:ascii="Times New Roman" w:hAnsi="Times New Roman"/>
          <w:sz w:val="24"/>
          <w:szCs w:val="24"/>
          <w:lang w:val="bg-BG"/>
        </w:rPr>
        <w:t>, кметство с. Кален</w:t>
      </w:r>
      <w:r w:rsidR="00EC3BC9">
        <w:rPr>
          <w:rFonts w:ascii="Times New Roman" w:hAnsi="Times New Roman"/>
          <w:sz w:val="24"/>
          <w:szCs w:val="24"/>
          <w:lang w:val="bg-BG"/>
        </w:rPr>
        <w:t xml:space="preserve"> и БДДР – Плевен</w:t>
      </w:r>
      <w:r w:rsidRPr="0098619F">
        <w:rPr>
          <w:rFonts w:ascii="Times New Roman" w:hAnsi="Times New Roman"/>
          <w:sz w:val="24"/>
          <w:szCs w:val="24"/>
          <w:lang w:val="bg-BG"/>
        </w:rPr>
        <w:t>.</w:t>
      </w:r>
    </w:p>
    <w:p w:rsidR="0098619F" w:rsidRPr="0098619F" w:rsidRDefault="0098619F" w:rsidP="0098619F">
      <w:pPr>
        <w:ind w:left="709"/>
        <w:jc w:val="right"/>
        <w:rPr>
          <w:rFonts w:ascii="Times New Roman" w:hAnsi="Times New Roman"/>
          <w:sz w:val="24"/>
          <w:szCs w:val="24"/>
          <w:lang w:val="bg-BG"/>
        </w:rPr>
      </w:pPr>
      <w:r w:rsidRPr="0098619F">
        <w:rPr>
          <w:rFonts w:ascii="Times New Roman" w:hAnsi="Times New Roman"/>
          <w:sz w:val="24"/>
          <w:szCs w:val="24"/>
          <w:lang w:val="bg-BG"/>
        </w:rPr>
        <w:t xml:space="preserve">/отговорено на </w:t>
      </w:r>
      <w:r w:rsidR="00AD1647">
        <w:rPr>
          <w:rFonts w:ascii="Times New Roman" w:hAnsi="Times New Roman"/>
          <w:sz w:val="24"/>
          <w:szCs w:val="24"/>
          <w:lang w:val="bg-BG"/>
        </w:rPr>
        <w:t>01.04</w:t>
      </w:r>
      <w:r w:rsidR="007F6AA4">
        <w:rPr>
          <w:rFonts w:ascii="Times New Roman" w:hAnsi="Times New Roman"/>
          <w:sz w:val="24"/>
          <w:szCs w:val="24"/>
          <w:lang w:val="bg-BG"/>
        </w:rPr>
        <w:t>.2024</w:t>
      </w:r>
      <w:r w:rsidRPr="0098619F">
        <w:rPr>
          <w:rFonts w:ascii="Times New Roman" w:hAnsi="Times New Roman"/>
          <w:sz w:val="24"/>
          <w:szCs w:val="24"/>
          <w:lang w:val="bg-BG"/>
        </w:rPr>
        <w:t>г./</w:t>
      </w:r>
    </w:p>
    <w:p w:rsidR="0098619F" w:rsidRPr="0098619F" w:rsidRDefault="0098619F" w:rsidP="0098619F">
      <w:pPr>
        <w:rPr>
          <w:rFonts w:ascii="Times New Roman" w:hAnsi="Times New Roman"/>
          <w:b/>
          <w:spacing w:val="20"/>
          <w:sz w:val="23"/>
          <w:szCs w:val="23"/>
          <w:lang w:val="bg-BG"/>
        </w:rPr>
      </w:pPr>
      <w:r w:rsidRPr="0098619F">
        <w:rPr>
          <w:rFonts w:ascii="Times New Roman" w:hAnsi="Times New Roman"/>
          <w:b/>
          <w:spacing w:val="20"/>
          <w:sz w:val="23"/>
          <w:szCs w:val="23"/>
          <w:lang w:val="bg-BG"/>
        </w:rPr>
        <w:t xml:space="preserve"> </w:t>
      </w:r>
    </w:p>
    <w:p w:rsidR="003E14F8" w:rsidRPr="003E14F8" w:rsidRDefault="003E14F8" w:rsidP="000F225C">
      <w:pPr>
        <w:rPr>
          <w:rFonts w:ascii="Times New Roman" w:hAnsi="Times New Roman"/>
        </w:rPr>
      </w:pPr>
    </w:p>
    <w:sectPr w:rsidR="003E14F8" w:rsidRPr="003E14F8" w:rsidSect="000F225C">
      <w:footerReference w:type="default" r:id="rId8"/>
      <w:headerReference w:type="first" r:id="rId9"/>
      <w:footerReference w:type="first" r:id="rId10"/>
      <w:pgSz w:w="11907" w:h="16840" w:code="9"/>
      <w:pgMar w:top="1134" w:right="1134" w:bottom="567" w:left="1349" w:header="567"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CEC" w:rsidRDefault="00064CEC">
      <w:r>
        <w:separator/>
      </w:r>
    </w:p>
  </w:endnote>
  <w:endnote w:type="continuationSeparator" w:id="0">
    <w:p w:rsidR="00064CEC" w:rsidRDefault="0006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Trebuchet MS"/>
    <w:charset w:val="CC"/>
    <w:family w:val="swiss"/>
    <w:pitch w:val="variable"/>
    <w:sig w:usb0="00000287" w:usb1="00000000" w:usb2="00000000" w:usb3="00000000" w:csb0="0000009F" w:csb1="00000000"/>
  </w:font>
  <w:font w:name="Tim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84" w:rsidRDefault="00772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D164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1647">
      <w:rPr>
        <w:b/>
        <w:bCs/>
        <w:noProof/>
      </w:rPr>
      <w:t>3</w:t>
    </w:r>
    <w:r>
      <w:rPr>
        <w:b/>
        <w:bCs/>
        <w:sz w:val="24"/>
        <w:szCs w:val="24"/>
      </w:rPr>
      <w:fldChar w:fldCharType="end"/>
    </w:r>
  </w:p>
  <w:p w:rsidR="00772484" w:rsidRDefault="007724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7" w:type="dxa"/>
      <w:tblLook w:val="04A0" w:firstRow="1" w:lastRow="0" w:firstColumn="1" w:lastColumn="0" w:noHBand="0" w:noVBand="1"/>
    </w:tblPr>
    <w:tblGrid>
      <w:gridCol w:w="3077"/>
      <w:gridCol w:w="4709"/>
      <w:gridCol w:w="1861"/>
    </w:tblGrid>
    <w:tr w:rsidR="00CD302E" w:rsidRPr="00CD302E" w:rsidTr="00103863">
      <w:trPr>
        <w:trHeight w:val="1013"/>
      </w:trPr>
      <w:tc>
        <w:tcPr>
          <w:tcW w:w="2356" w:type="dxa"/>
          <w:hideMark/>
        </w:tcPr>
        <w:p w:rsidR="000F225C" w:rsidRDefault="000F225C" w:rsidP="00CD302E">
          <w:pPr>
            <w:tabs>
              <w:tab w:val="center" w:pos="4703"/>
              <w:tab w:val="right" w:pos="9406"/>
            </w:tabs>
            <w:jc w:val="center"/>
            <w:rPr>
              <w:rFonts w:ascii="Calibri" w:eastAsia="Calibri" w:hAnsi="Calibri"/>
              <w:noProof/>
              <w:lang w:val="bg-BG" w:eastAsia="bg-BG"/>
            </w:rPr>
          </w:pPr>
          <w:r>
            <w:rPr>
              <w:rFonts w:ascii="Calibri" w:eastAsia="Calibri" w:hAnsi="Calibri"/>
              <w:noProof/>
              <w:lang w:val="bg-BG" w:eastAsia="bg-BG"/>
            </w:rPr>
            <mc:AlternateContent>
              <mc:Choice Requires="wps">
                <w:drawing>
                  <wp:anchor distT="0" distB="0" distL="114300" distR="114300" simplePos="0" relativeHeight="251661824" behindDoc="0" locked="0" layoutInCell="1" allowOverlap="1">
                    <wp:simplePos x="0" y="0"/>
                    <wp:positionH relativeFrom="column">
                      <wp:posOffset>-1270</wp:posOffset>
                    </wp:positionH>
                    <wp:positionV relativeFrom="paragraph">
                      <wp:posOffset>81280</wp:posOffset>
                    </wp:positionV>
                    <wp:extent cx="59817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598170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7DD514" id="Straight Connector 1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pt,6.4pt" to="470.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rC1wEAABEEAAAOAAAAZHJzL2Uyb0RvYy54bWysU8GO2yAQvVfqPyDujZ1I2e5acfaQ1fZS&#10;tVG3/QAWQ4wEDBponPx9B+w4q7ZStatesAfmvZn3Bjb3J2fZUWE04Fu+XNScKS+hM/7Q8h/fHz/c&#10;chaT8J2w4FXLzyry++37d5shNGoFPdhOISMSH5shtLxPKTRVFWWvnIgLCMrToQZ0IlGIh6pDMRC7&#10;s9Wqrm+qAbALCFLFSLsP4yHfFn6tlUxftY4qMdty6i2VFcv6nNdquxHNAUXojZzaEG/owgnjqehM&#10;9SCSYD/R/EHljESIoNNCgqtAayNV0UBqlvVvap56EVTRQubEMNsU/x+t/HLcIzMdze6GMy8czegp&#10;oTCHPrEdeE8OAjI6JKeGEBsC7PwepyiGPWbZJ40uf0kQOxV3z7O76pSYpM313e3yY01DkHR2t16t&#10;M2V1xQaM6ZMCx/JPy63xWbtoxPFzTGPqJSVvW8+GiSeHEazpHo21JcjXR+0ssqOgwafTcqr1Iosq&#10;W08NZFGjjPKXzlaN9N+UJmOo8WVpo1zJK6eQUvl04bWesjNMUwczsP43cMrPUFWu62vAM6JUBp9m&#10;sDMe8G/Vr1boMf/iwKg7W/AM3bkMuFhD965MaXoj+WK/jAv8+pK3vwAAAP//AwBQSwMEFAAGAAgA&#10;AAAhAOfsdnDcAAAABwEAAA8AAABkcnMvZG93bnJldi54bWxMj0FPwzAMhe9I/IfISNy2tGmFWGk6&#10;Adou3LYxwTFtTFvROKXJtvLvMSe42e89PX8u17MbxBmn0HvSkC4TEEiNtz21Gl4P28U9iBANWTN4&#10;Qg3fGGBdXV+VprD+Qjs872MruIRCYTR0MY6FlKHp0Jmw9CMSex9+cibyOrXSTubC5W6QKknupDM9&#10;8YXOjPjcYfO5PzkN9eZro7L3+W13zPJEpU/Hl2a11fr2Zn58ABFxjn9h+MVndKiYqfYnskEMGhaK&#10;gywrfoDtVZ7yULOQZyCrUv7nr34AAAD//wMAUEsBAi0AFAAGAAgAAAAhALaDOJL+AAAA4QEAABMA&#10;AAAAAAAAAAAAAAAAAAAAAFtDb250ZW50X1R5cGVzXS54bWxQSwECLQAUAAYACAAAACEAOP0h/9YA&#10;AACUAQAACwAAAAAAAAAAAAAAAAAvAQAAX3JlbHMvLnJlbHNQSwECLQAUAAYACAAAACEAB/MawtcB&#10;AAARBAAADgAAAAAAAAAAAAAAAAAuAgAAZHJzL2Uyb0RvYy54bWxQSwECLQAUAAYACAAAACEA5+x2&#10;cNwAAAAHAQAADwAAAAAAAAAAAAAAAAAxBAAAZHJzL2Rvd25yZXYueG1sUEsFBgAAAAAEAAQA8wAA&#10;ADoFAAAAAA==&#10;" strokecolor="black [3213]">
                    <v:stroke joinstyle="miter"/>
                  </v:line>
                </w:pict>
              </mc:Fallback>
            </mc:AlternateContent>
          </w:r>
        </w:p>
        <w:p w:rsidR="00CD302E" w:rsidRPr="00CD302E" w:rsidRDefault="004A7867" w:rsidP="00CD302E">
          <w:pPr>
            <w:tabs>
              <w:tab w:val="center" w:pos="4703"/>
              <w:tab w:val="right" w:pos="9406"/>
            </w:tabs>
            <w:jc w:val="center"/>
            <w:rPr>
              <w:rFonts w:ascii="Calibri" w:eastAsia="Calibri" w:hAnsi="Calibri"/>
            </w:rPr>
          </w:pPr>
          <w:r w:rsidRPr="005F0C61">
            <w:rPr>
              <w:rFonts w:ascii="Calibri" w:eastAsia="Calibri" w:hAnsi="Calibri"/>
              <w:noProof/>
              <w:lang w:val="bg-BG" w:eastAsia="bg-BG"/>
            </w:rPr>
            <w:drawing>
              <wp:inline distT="0" distB="0" distL="0" distR="0" wp14:anchorId="2E4C7E19" wp14:editId="478E6045">
                <wp:extent cx="1817290"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17290" cy="723900"/>
                        </a:xfrm>
                        <a:prstGeom prst="rect">
                          <a:avLst/>
                        </a:prstGeom>
                        <a:noFill/>
                        <a:ln>
                          <a:noFill/>
                        </a:ln>
                      </pic:spPr>
                    </pic:pic>
                  </a:graphicData>
                </a:graphic>
              </wp:inline>
            </w:drawing>
          </w:r>
        </w:p>
      </w:tc>
      <w:tc>
        <w:tcPr>
          <w:tcW w:w="5290" w:type="dxa"/>
        </w:tcPr>
        <w:p w:rsidR="00810CB7" w:rsidRDefault="00810CB7" w:rsidP="00810CB7">
          <w:pPr>
            <w:tabs>
              <w:tab w:val="center" w:pos="4703"/>
              <w:tab w:val="right" w:pos="9406"/>
            </w:tabs>
            <w:jc w:val="center"/>
            <w:rPr>
              <w:rFonts w:ascii="Times New Roman" w:eastAsia="Calibri" w:hAnsi="Times New Roman"/>
            </w:rPr>
          </w:pPr>
          <w:r w:rsidRPr="00810CB7">
            <w:rPr>
              <w:rFonts w:ascii="Times New Roman" w:eastAsia="Calibri" w:hAnsi="Times New Roman"/>
            </w:rPr>
            <w:t xml:space="preserve">  </w:t>
          </w:r>
          <w:r>
            <w:rPr>
              <w:rFonts w:ascii="Times New Roman" w:eastAsia="Calibri" w:hAnsi="Times New Roman"/>
            </w:rPr>
            <w:t xml:space="preserve">                </w:t>
          </w:r>
        </w:p>
        <w:p w:rsidR="000F225C" w:rsidRDefault="00810CB7" w:rsidP="00810CB7">
          <w:pPr>
            <w:tabs>
              <w:tab w:val="center" w:pos="4703"/>
              <w:tab w:val="right" w:pos="9406"/>
            </w:tabs>
            <w:rPr>
              <w:rFonts w:ascii="Times New Roman" w:eastAsia="Calibri" w:hAnsi="Times New Roman"/>
              <w:lang w:val="bg-BG"/>
            </w:rPr>
          </w:pPr>
          <w:r>
            <w:rPr>
              <w:rFonts w:ascii="Times New Roman" w:eastAsia="Calibri" w:hAnsi="Times New Roman"/>
              <w:lang w:val="bg-BG"/>
            </w:rPr>
            <w:t xml:space="preserve">           </w:t>
          </w:r>
        </w:p>
        <w:p w:rsidR="00810CB7" w:rsidRPr="00810CB7" w:rsidRDefault="000F225C"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lang w:val="bg-BG"/>
            </w:rPr>
            <w:t xml:space="preserve">  </w:t>
          </w:r>
          <w:r w:rsidR="00810CB7">
            <w:rPr>
              <w:rFonts w:ascii="Times New Roman" w:eastAsia="Calibri" w:hAnsi="Times New Roman"/>
            </w:rPr>
            <w:t xml:space="preserve"> </w:t>
          </w:r>
          <w:r w:rsidR="00810CB7" w:rsidRPr="00810CB7">
            <w:rPr>
              <w:rFonts w:ascii="Times New Roman" w:eastAsia="Calibri" w:hAnsi="Times New Roman"/>
            </w:rPr>
            <w:t>гр. Враца 3000, ул. ”Екзарх Йосиф” № 81</w:t>
          </w:r>
        </w:p>
        <w:p w:rsidR="00810CB7" w:rsidRPr="00810CB7" w:rsidRDefault="00046208"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rPr>
            <w:t>тел/факс: (+35992) 629211;</w:t>
          </w:r>
          <w:r>
            <w:rPr>
              <w:rFonts w:ascii="Times New Roman" w:eastAsia="Calibri" w:hAnsi="Times New Roman"/>
            </w:rPr>
            <w:t xml:space="preserve"> riosv-vr@riosv-vr.com</w:t>
          </w:r>
        </w:p>
        <w:p w:rsidR="00CD302E" w:rsidRPr="00CD302E" w:rsidRDefault="00810CB7" w:rsidP="00810CB7">
          <w:pPr>
            <w:tabs>
              <w:tab w:val="center" w:pos="4703"/>
              <w:tab w:val="right" w:pos="9406"/>
            </w:tabs>
            <w:rPr>
              <w:rFonts w:ascii="Times" w:eastAsia="Calibri" w:hAnsi="Times"/>
              <w:lang w:val="bg-BG"/>
            </w:rPr>
          </w:pPr>
          <w:r w:rsidRPr="00810CB7">
            <w:rPr>
              <w:rFonts w:ascii="Times New Roman" w:eastAsia="Calibri" w:hAnsi="Times New Roman"/>
            </w:rPr>
            <w:t xml:space="preserve"> </w:t>
          </w:r>
          <w:r>
            <w:rPr>
              <w:rFonts w:ascii="Times New Roman" w:eastAsia="Calibri" w:hAnsi="Times New Roman"/>
            </w:rPr>
            <w:t xml:space="preserve">                           </w:t>
          </w:r>
          <w:r w:rsidRPr="00810CB7">
            <w:rPr>
              <w:rFonts w:ascii="Times New Roman" w:eastAsia="Calibri" w:hAnsi="Times New Roman"/>
            </w:rPr>
            <w:t>http://riosv.vracakarst.com</w:t>
          </w:r>
        </w:p>
      </w:tc>
      <w:tc>
        <w:tcPr>
          <w:tcW w:w="2001" w:type="dxa"/>
          <w:hideMark/>
        </w:tcPr>
        <w:p w:rsidR="000F225C" w:rsidRDefault="000F225C" w:rsidP="000F225C">
          <w:pPr>
            <w:tabs>
              <w:tab w:val="center" w:pos="788"/>
              <w:tab w:val="center" w:pos="4703"/>
              <w:tab w:val="right" w:pos="9406"/>
            </w:tabs>
            <w:rPr>
              <w:rFonts w:ascii="Calibri" w:eastAsia="Calibri" w:hAnsi="Calibri"/>
            </w:rPr>
          </w:pPr>
        </w:p>
        <w:p w:rsidR="00CD302E" w:rsidRPr="00CD302E" w:rsidRDefault="000F225C" w:rsidP="000F225C">
          <w:pPr>
            <w:tabs>
              <w:tab w:val="center" w:pos="788"/>
              <w:tab w:val="center" w:pos="4703"/>
              <w:tab w:val="right" w:pos="9406"/>
            </w:tabs>
            <w:rPr>
              <w:rFonts w:ascii="Calibri" w:eastAsia="Calibri" w:hAnsi="Calibri"/>
            </w:rPr>
          </w:pPr>
          <w:r>
            <w:rPr>
              <w:rFonts w:ascii="Calibri" w:eastAsia="Calibri" w:hAnsi="Calibri"/>
            </w:rPr>
            <w:tab/>
          </w:r>
          <w:r w:rsidR="008516CB" w:rsidRPr="00CD302E">
            <w:rPr>
              <w:rFonts w:ascii="Times New Roman" w:eastAsia="Calibri" w:hAnsi="Times New Roman"/>
              <w:noProof/>
              <w:lang w:val="bg-BG" w:eastAsia="bg-BG"/>
            </w:rPr>
            <w:drawing>
              <wp:inline distT="0" distB="0" distL="0" distR="0">
                <wp:extent cx="371475" cy="371475"/>
                <wp:effectExtent l="0" t="0" r="0" b="0"/>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rsidR="00FC1048" w:rsidRDefault="00FC104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CEC" w:rsidRDefault="00064CEC">
      <w:r>
        <w:separator/>
      </w:r>
    </w:p>
  </w:footnote>
  <w:footnote w:type="continuationSeparator" w:id="0">
    <w:p w:rsidR="00064CEC" w:rsidRDefault="00064C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47" w:rsidRPr="0073004C" w:rsidRDefault="000B123C" w:rsidP="00540802">
    <w:pPr>
      <w:pStyle w:val="Heading2"/>
      <w:jc w:val="left"/>
      <w:rPr>
        <w:b/>
        <w:spacing w:val="40"/>
        <w:sz w:val="30"/>
        <w:szCs w:val="30"/>
        <w:u w:val="none"/>
      </w:rPr>
    </w:pPr>
    <w:r>
      <w:rPr>
        <w:i/>
        <w:iCs/>
        <w:noProof/>
        <w:sz w:val="2"/>
        <w:szCs w:val="2"/>
        <w:lang w:eastAsia="bg-BG"/>
      </w:rPr>
      <mc:AlternateContent>
        <mc:Choice Requires="wps">
          <w:drawing>
            <wp:anchor distT="0" distB="0" distL="114300" distR="114300" simplePos="0" relativeHeight="251659776" behindDoc="0" locked="0" layoutInCell="1" allowOverlap="1">
              <wp:simplePos x="0" y="0"/>
              <wp:positionH relativeFrom="column">
                <wp:posOffset>495935</wp:posOffset>
              </wp:positionH>
              <wp:positionV relativeFrom="paragraph">
                <wp:posOffset>65405</wp:posOffset>
              </wp:positionV>
              <wp:extent cx="0" cy="8763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AC6F8"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5.15pt" to="39.0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jtQEAALYDAAAOAAAAZHJzL2Uyb0RvYy54bWysU8FuEzEQvSPxD5bvZDdFLdUqmx5SwQVB&#10;ROEDXO84a9X2WGOTTf6esZNsESCEUC9ej/3ezLzn2dXdwTuxB0oWQy+Xi1YKCBoHG3a9/Pb1/Ztb&#10;KVJWYVAOA/TyCEnerV+/Wk2xgysc0Q1AgpOE1E2xl2POsWuapEfwKi0wQuBLg+RV5pB2zUBq4uze&#10;NVdte9NMSEMk1JASn96fLuW65jcGdP5sTIIsXC+5t1xXqutjWZv1SnU7UnG0+tyG+o8uvLKBi86p&#10;7lVW4jvZ31J5qwkTmrzQ6Bs0xmqoGljNsv1FzcOoIlQtbE6Ks03p5dLqT/stCTv08lqKoDw/0UMm&#10;ZXdjFhsMgQ1EEtfFpymmjuGbsKVzlOKWiuiDIV++LEccqrfH2Vs4ZKFPh5pPb9/dvG2r7c0zL1LK&#10;HwC9KJteOhuKatWp/ceUuRZDLxAOSh+nynWXjw4K2IUvYFgJ11pWdp0h2DgSe8WvPzwtiwrOVZGF&#10;YqxzM6n9O+mMLTSoc/WvxBldK2LIM9HbgPSnqvlwadWc8BfVJ61F9iMOx/oO1Q4ejqrsPMhl+n6O&#10;K/35d1v/AAAA//8DAFBLAwQUAAYACAAAACEAkJGY8NwAAAAIAQAADwAAAGRycy9kb3ducmV2Lnht&#10;bEyPwU7DMBBE70j8g7VI3KjTFpUoxKmqSghxQTSFuxu7Tlp7HdlOGv6ehQs9vp3R7Ey5npxlow6x&#10;8yhgPsuAaWy86tAI+Ny/POTAYpKopPWoBXzrCOvq9qaUhfIX3OmxToZRCMZCCmhT6gvOY9NqJ+PM&#10;9xpJO/rgZCIMhqsgLxTuLF9k2Yo72SF9aGWvt61uzvXgBNi3MH6ZrdnE4XW3qk8fx8X7fhTi/m7a&#10;PANLekr/ZvitT9Whok4HP6CKzAp4yufkpHu2BEb6Hx+IH/Ml8Krk1wOqHwAAAP//AwBQSwECLQAU&#10;AAYACAAAACEAtoM4kv4AAADhAQAAEwAAAAAAAAAAAAAAAAAAAAAAW0NvbnRlbnRfVHlwZXNdLnht&#10;bFBLAQItABQABgAIAAAAIQA4/SH/1gAAAJQBAAALAAAAAAAAAAAAAAAAAC8BAABfcmVscy8ucmVs&#10;c1BLAQItABQABgAIAAAAIQD+aa2jtQEAALYDAAAOAAAAAAAAAAAAAAAAAC4CAABkcnMvZTJvRG9j&#10;LnhtbFBLAQItABQABgAIAAAAIQCQkZjw3AAAAAgBAAAPAAAAAAAAAAAAAAAAAA8EAABkcnMvZG93&#10;bnJldi54bWxQSwUGAAAAAAQABADzAAAAGAUAAAAA&#10;" strokecolor="black [3200]" strokeweight=".5pt">
              <v:stroke joinstyle="miter"/>
            </v:line>
          </w:pict>
        </mc:Fallback>
      </mc:AlternateContent>
    </w:r>
    <w:r w:rsidR="008516CB" w:rsidRPr="005B69F7">
      <w:rPr>
        <w:rStyle w:val="Emphasis"/>
        <w:noProof/>
        <w:sz w:val="2"/>
        <w:szCs w:val="2"/>
        <w:lang w:eastAsia="bg-BG"/>
      </w:rPr>
      <w:drawing>
        <wp:anchor distT="0" distB="0" distL="114300" distR="114300" simplePos="0" relativeHeight="251657728" behindDoc="0" locked="0" layoutInCell="1" allowOverlap="1">
          <wp:simplePos x="0" y="0"/>
          <wp:positionH relativeFrom="column">
            <wp:posOffset>-285750</wp:posOffset>
          </wp:positionH>
          <wp:positionV relativeFrom="paragraph">
            <wp:posOffset>95250</wp:posOffset>
          </wp:positionV>
          <wp:extent cx="600710" cy="832485"/>
          <wp:effectExtent l="0" t="0" r="0" b="0"/>
          <wp:wrapSquare wrapText="bothSides"/>
          <wp:docPr id="10" name="Picture 10"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6CB" w:rsidRPr="00E15B5B">
      <w:rPr>
        <w:rStyle w:val="Emphasis"/>
        <w:noProof/>
        <w:sz w:val="2"/>
        <w:szCs w:val="2"/>
        <w:lang w:eastAsia="bg-BG"/>
      </w:rPr>
      <mc:AlternateContent>
        <mc:Choice Requires="wps">
          <w:drawing>
            <wp:anchor distT="0" distB="0" distL="114300" distR="114300" simplePos="0" relativeHeight="251658752" behindDoc="0" locked="0" layoutInCell="1" allowOverlap="1">
              <wp:simplePos x="0" y="0"/>
              <wp:positionH relativeFrom="column">
                <wp:posOffset>-4001135</wp:posOffset>
              </wp:positionH>
              <wp:positionV relativeFrom="paragraph">
                <wp:posOffset>-1073785</wp:posOffset>
              </wp:positionV>
              <wp:extent cx="0" cy="102171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1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078758" id="_x0000_t32" coordsize="21600,21600" o:spt="32" o:oned="t" path="m,l21600,21600e" filled="f">
              <v:path arrowok="t" fillok="f" o:connecttype="none"/>
              <o:lock v:ext="edit" shapetype="t"/>
            </v:shapetype>
            <v:shape id="AutoShape 18" o:spid="_x0000_s1026" type="#_x0000_t32" style="position:absolute;margin-left:-315.05pt;margin-top:-84.55pt;width:0;height:8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ciHQIAADwEAAAOAAAAZHJzL2Uyb0RvYy54bWysU8GO2yAQvVfqPyDuiU3qZBMrzmplJ71s&#10;u5F2+wEEsI2KAQGJE1X99wJ2ok17qar6gAeYefNm5rF+PHcCnJixXMkComkKAZNEUS6bAn57202W&#10;EFiHJcVCSVbAC7PwcfPxw7rXOZupVgnKDPAg0ua9LmDrnM6TxJKWddhOlWbSX9bKdNj5rWkSanDv&#10;0TuRzNJ0kfTKUG0UYdb602q4hJuIX9eMuJe6tswBUUDPzcXVxPUQ1mSzxnljsG45GWngf2DRYS59&#10;0htUhR0GR8P/gOo4Mcqq2k2J6hJV15ywWIOvBqW/VfPaYs1iLb45Vt/aZP8fLPl62hvAaQEzCCTu&#10;/Iiejk7FzAAtQ396bXPvVsq9CRWSs3zVz4p8t0CqssWyYdH77aJ9MAoRyV1I2Fjtsxz6L4p6H+wT&#10;xGada9MFSN8GcI4zudxmws4OkOGQ+FOUztADmkd0nF8DtbHuM1MdCEYBrTOYN60rlZR+8sqgmAaf&#10;nq0LtHB+DQhZpdpxIaIAhAR9AVfz2TwGWCU4DZfBzZrmUAoDTjhIKH4jizs3o46SRrCWYbodbYe5&#10;GGyfXMiA5wvzdEZr0MiPVbraLrfLbJLNFttJllbV5GlXZpPFDj3Mq09VWVboZ6CGsrzllDIZ2F31&#10;irK/08P4cgal3RR7a0Nyjx775cle/5F0nGwY5iCLg6KXvblO3Es0Oo/PKbyB93tvv3/0m18AAAD/&#10;/wMAUEsDBBQABgAIAAAAIQABgdRc3gAAAA0BAAAPAAAAZHJzL2Rvd25yZXYueG1sTI9BS8NAEIXv&#10;gv9hGcGLtLuJGNqYTSmCB4+2Ba/b7Jikzc6G7KaJ/fWOIOjtzbzHm2+Kzew6ccEhtJ40JEsFAqny&#10;tqVaw2H/uliBCNGQNZ0n1PCFATbl7U1hcusnesfLLtaCSyjkRkMTY59LGaoGnQlL3yOx9+kHZyKP&#10;Qy3tYCYud51MlcqkMy3xhcb0+NJgdd6NTgOG8SlR27WrD2/X6eEjvZ6mfq/1/d28fQYRcY5/YfjB&#10;Z3QomenoR7JBdBoW2aNKOMsqydasOPO7O7JapSDLQv7/ovwGAAD//wMAUEsBAi0AFAAGAAgAAAAh&#10;ALaDOJL+AAAA4QEAABMAAAAAAAAAAAAAAAAAAAAAAFtDb250ZW50X1R5cGVzXS54bWxQSwECLQAU&#10;AAYACAAAACEAOP0h/9YAAACUAQAACwAAAAAAAAAAAAAAAAAvAQAAX3JlbHMvLnJlbHNQSwECLQAU&#10;AAYACAAAACEAGp+3Ih0CAAA8BAAADgAAAAAAAAAAAAAAAAAuAgAAZHJzL2Uyb0RvYy54bWxQSwEC&#10;LQAUAAYACAAAACEAAYHUXN4AAAANAQAADwAAAAAAAAAAAAAAAAB3BAAAZHJzL2Rvd25yZXYueG1s&#10;UEsFBgAAAAAEAAQA8wAAAIIFAAAAAA==&#10;"/>
          </w:pict>
        </mc:Fallback>
      </mc:AlternateContent>
    </w:r>
    <w:r w:rsidR="002B43F0">
      <w:rPr>
        <w:b/>
        <w:spacing w:val="40"/>
        <w:sz w:val="30"/>
        <w:szCs w:val="30"/>
        <w:u w:val="none"/>
        <w:lang w:val="en-US"/>
      </w:rPr>
      <w:t xml:space="preserve">      </w:t>
    </w:r>
    <w:r w:rsidR="00540802">
      <w:rPr>
        <w:b/>
        <w:spacing w:val="40"/>
        <w:sz w:val="30"/>
        <w:szCs w:val="30"/>
        <w:u w:val="none"/>
      </w:rPr>
      <w:t xml:space="preserve">     </w:t>
    </w:r>
    <w:r w:rsidR="00415A47" w:rsidRPr="0073004C">
      <w:rPr>
        <w:b/>
        <w:spacing w:val="40"/>
        <w:sz w:val="30"/>
        <w:szCs w:val="30"/>
        <w:u w:val="none"/>
      </w:rPr>
      <w:t>РЕПУБЛИКА БЪЛГАРИЯ</w:t>
    </w:r>
  </w:p>
  <w:p w:rsidR="00415A47" w:rsidRPr="007777F3" w:rsidRDefault="00415A47" w:rsidP="00415A47">
    <w:pPr>
      <w:rPr>
        <w:lang w:val="bg-BG"/>
      </w:rPr>
    </w:pPr>
  </w:p>
  <w:p w:rsidR="00415A47" w:rsidRPr="007B5CDD" w:rsidRDefault="00415A47" w:rsidP="00540802">
    <w:pPr>
      <w:pStyle w:val="Heading1"/>
      <w:framePr w:w="0" w:hRule="auto" w:wrap="auto" w:vAnchor="margin" w:hAnchor="text" w:xAlign="left" w:yAlign="inline"/>
      <w:tabs>
        <w:tab w:val="left" w:pos="1276"/>
      </w:tabs>
      <w:jc w:val="left"/>
      <w:rPr>
        <w:rFonts w:ascii="Times New Roman" w:hAnsi="Times New Roman"/>
        <w:spacing w:val="40"/>
        <w:szCs w:val="24"/>
      </w:rPr>
    </w:pPr>
    <w:r>
      <w:rPr>
        <w:rFonts w:ascii="Times New Roman" w:hAnsi="Times New Roman"/>
        <w:spacing w:val="40"/>
        <w:szCs w:val="24"/>
      </w:rPr>
      <w:t xml:space="preserve">   </w:t>
    </w:r>
    <w:r w:rsidR="007777F3">
      <w:rPr>
        <w:rFonts w:ascii="Times New Roman" w:hAnsi="Times New Roman"/>
        <w:spacing w:val="40"/>
        <w:szCs w:val="24"/>
      </w:rPr>
      <w:tab/>
    </w:r>
    <w:r w:rsidRPr="007B5CDD">
      <w:rPr>
        <w:rFonts w:ascii="Times New Roman" w:hAnsi="Times New Roman"/>
        <w:spacing w:val="40"/>
        <w:szCs w:val="24"/>
      </w:rPr>
      <w:t>МИНИСТЕРСТВО НА ОКОЛНАТА СРЕДА И ВОДИТЕ</w:t>
    </w:r>
  </w:p>
  <w:p w:rsidR="00415A47" w:rsidRDefault="00415A47" w:rsidP="00415A47">
    <w:pPr>
      <w:tabs>
        <w:tab w:val="left" w:pos="1276"/>
      </w:tabs>
      <w:rPr>
        <w:rFonts w:ascii="Times New Roman" w:hAnsi="Times New Roman"/>
        <w:sz w:val="24"/>
        <w:szCs w:val="24"/>
        <w:lang w:val="bg-BG"/>
      </w:rPr>
    </w:pPr>
    <w:r w:rsidRPr="00E15B5B">
      <w:rPr>
        <w:rFonts w:ascii="Times New Roman" w:hAnsi="Times New Roman"/>
        <w:sz w:val="24"/>
        <w:szCs w:val="24"/>
        <w:lang w:val="bg-BG"/>
      </w:rPr>
      <w:tab/>
    </w:r>
  </w:p>
  <w:p w:rsidR="00415A47" w:rsidRPr="007B5CDD" w:rsidRDefault="00415A47" w:rsidP="00415A47">
    <w:pPr>
      <w:tabs>
        <w:tab w:val="left" w:pos="1276"/>
      </w:tabs>
      <w:rPr>
        <w:rFonts w:ascii="Times New Roman" w:hAnsi="Times New Roman"/>
        <w:b/>
        <w:lang w:val="bg-BG"/>
      </w:rPr>
    </w:pPr>
    <w:r>
      <w:rPr>
        <w:rFonts w:ascii="Times New Roman" w:hAnsi="Times New Roman"/>
        <w:sz w:val="24"/>
        <w:szCs w:val="24"/>
        <w:lang w:val="bg-BG"/>
      </w:rPr>
      <w:t xml:space="preserve">        </w:t>
    </w:r>
    <w:r w:rsidR="007777F3">
      <w:rPr>
        <w:rFonts w:ascii="Times New Roman" w:hAnsi="Times New Roman"/>
        <w:sz w:val="24"/>
        <w:szCs w:val="24"/>
        <w:lang w:val="bg-BG"/>
      </w:rPr>
      <w:tab/>
    </w:r>
    <w:r w:rsidR="000428B9">
      <w:rPr>
        <w:rFonts w:ascii="Times New Roman" w:hAnsi="Times New Roman"/>
        <w:sz w:val="24"/>
        <w:szCs w:val="24"/>
        <w:lang w:val="bg-BG"/>
      </w:rPr>
      <w:t>РЕГИОНАЛНА ИНСПЕКЦИЯ</w:t>
    </w:r>
    <w:r w:rsidR="00810CB7">
      <w:rPr>
        <w:rFonts w:ascii="Times New Roman" w:hAnsi="Times New Roman"/>
        <w:sz w:val="24"/>
        <w:szCs w:val="24"/>
        <w:lang w:val="bg-BG"/>
      </w:rPr>
      <w:t xml:space="preserve"> ПО ОКОЛНАТА СРЕДА И ВОДИТЕ - ВРАЦА</w:t>
    </w:r>
  </w:p>
  <w:p w:rsidR="00415A47" w:rsidRPr="00415A47" w:rsidRDefault="00415A47" w:rsidP="00415A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81E74"/>
    <w:multiLevelType w:val="hybridMultilevel"/>
    <w:tmpl w:val="0BA4030E"/>
    <w:lvl w:ilvl="0" w:tplc="F79E1A4A">
      <w:start w:val="1"/>
      <w:numFmt w:val="bullet"/>
      <w:lvlText w:val=""/>
      <w:lvlJc w:val="left"/>
      <w:pPr>
        <w:tabs>
          <w:tab w:val="num" w:pos="2120"/>
        </w:tabs>
        <w:ind w:left="21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120DE7"/>
    <w:multiLevelType w:val="hybridMultilevel"/>
    <w:tmpl w:val="126E4D50"/>
    <w:lvl w:ilvl="0" w:tplc="E8EC26F0">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15:restartNumberingAfterBreak="0">
    <w:nsid w:val="66033D86"/>
    <w:multiLevelType w:val="hybridMultilevel"/>
    <w:tmpl w:val="1FEA9EC2"/>
    <w:lvl w:ilvl="0" w:tplc="239672F2">
      <w:numFmt w:val="bullet"/>
      <w:lvlText w:val="-"/>
      <w:lvlJc w:val="left"/>
      <w:pPr>
        <w:ind w:left="360" w:hanging="360"/>
      </w:pPr>
      <w:rPr>
        <w:rFonts w:ascii="Times New Roman" w:eastAsia="Times New Roman" w:hAnsi="Times New Roman" w:cs="Times New Roman"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306F"/>
    <w:rsid w:val="00022A1D"/>
    <w:rsid w:val="000343AB"/>
    <w:rsid w:val="00034716"/>
    <w:rsid w:val="00036335"/>
    <w:rsid w:val="00042511"/>
    <w:rsid w:val="000428B9"/>
    <w:rsid w:val="00045BAE"/>
    <w:rsid w:val="00046208"/>
    <w:rsid w:val="00064CEC"/>
    <w:rsid w:val="00066AA2"/>
    <w:rsid w:val="000B123C"/>
    <w:rsid w:val="000B3E2D"/>
    <w:rsid w:val="000B6381"/>
    <w:rsid w:val="000C7B19"/>
    <w:rsid w:val="000F225C"/>
    <w:rsid w:val="000F7D41"/>
    <w:rsid w:val="00103863"/>
    <w:rsid w:val="001073F0"/>
    <w:rsid w:val="00111720"/>
    <w:rsid w:val="001157BD"/>
    <w:rsid w:val="00122B91"/>
    <w:rsid w:val="00136D7F"/>
    <w:rsid w:val="00157D1E"/>
    <w:rsid w:val="001639BC"/>
    <w:rsid w:val="001671E7"/>
    <w:rsid w:val="001B170D"/>
    <w:rsid w:val="001B4BA4"/>
    <w:rsid w:val="001B4BA5"/>
    <w:rsid w:val="001C5702"/>
    <w:rsid w:val="001C65F1"/>
    <w:rsid w:val="001C6903"/>
    <w:rsid w:val="001D52BE"/>
    <w:rsid w:val="001E10FE"/>
    <w:rsid w:val="0020512A"/>
    <w:rsid w:val="0020653E"/>
    <w:rsid w:val="002101EC"/>
    <w:rsid w:val="00212930"/>
    <w:rsid w:val="00233451"/>
    <w:rsid w:val="0023796F"/>
    <w:rsid w:val="0024120B"/>
    <w:rsid w:val="002478B8"/>
    <w:rsid w:val="00266D04"/>
    <w:rsid w:val="00273372"/>
    <w:rsid w:val="00283163"/>
    <w:rsid w:val="002A0824"/>
    <w:rsid w:val="002A709F"/>
    <w:rsid w:val="002B43F0"/>
    <w:rsid w:val="002B7809"/>
    <w:rsid w:val="002E25EF"/>
    <w:rsid w:val="002F7889"/>
    <w:rsid w:val="00324274"/>
    <w:rsid w:val="00352F4E"/>
    <w:rsid w:val="0037759B"/>
    <w:rsid w:val="003A2792"/>
    <w:rsid w:val="003A2A77"/>
    <w:rsid w:val="003A7996"/>
    <w:rsid w:val="003B30BB"/>
    <w:rsid w:val="003D4054"/>
    <w:rsid w:val="003D4A6B"/>
    <w:rsid w:val="003E0719"/>
    <w:rsid w:val="003E14F8"/>
    <w:rsid w:val="00415A47"/>
    <w:rsid w:val="00446795"/>
    <w:rsid w:val="00473CEC"/>
    <w:rsid w:val="004A7867"/>
    <w:rsid w:val="004C0E3E"/>
    <w:rsid w:val="004C24D1"/>
    <w:rsid w:val="004C3144"/>
    <w:rsid w:val="004D3F17"/>
    <w:rsid w:val="004F04D9"/>
    <w:rsid w:val="004F765C"/>
    <w:rsid w:val="00502BC2"/>
    <w:rsid w:val="0052019E"/>
    <w:rsid w:val="00533EA4"/>
    <w:rsid w:val="00540802"/>
    <w:rsid w:val="00542B66"/>
    <w:rsid w:val="0057056E"/>
    <w:rsid w:val="005A3B17"/>
    <w:rsid w:val="005B69F7"/>
    <w:rsid w:val="005C0D0B"/>
    <w:rsid w:val="005D759C"/>
    <w:rsid w:val="005D7788"/>
    <w:rsid w:val="005D7A64"/>
    <w:rsid w:val="00602A0B"/>
    <w:rsid w:val="00602D9A"/>
    <w:rsid w:val="0062681E"/>
    <w:rsid w:val="006340C8"/>
    <w:rsid w:val="00643C98"/>
    <w:rsid w:val="00661C46"/>
    <w:rsid w:val="00686DB6"/>
    <w:rsid w:val="00695E9C"/>
    <w:rsid w:val="006B0B9A"/>
    <w:rsid w:val="006B2EEB"/>
    <w:rsid w:val="006B51F0"/>
    <w:rsid w:val="006D21A3"/>
    <w:rsid w:val="006E1608"/>
    <w:rsid w:val="006E7677"/>
    <w:rsid w:val="006F3F56"/>
    <w:rsid w:val="0073004C"/>
    <w:rsid w:val="00735898"/>
    <w:rsid w:val="007550EB"/>
    <w:rsid w:val="0076286A"/>
    <w:rsid w:val="007653DF"/>
    <w:rsid w:val="007719EF"/>
    <w:rsid w:val="00772484"/>
    <w:rsid w:val="007777F3"/>
    <w:rsid w:val="007A6290"/>
    <w:rsid w:val="007B5CDD"/>
    <w:rsid w:val="007F6AA4"/>
    <w:rsid w:val="007F7CEB"/>
    <w:rsid w:val="00810CB7"/>
    <w:rsid w:val="00836DEF"/>
    <w:rsid w:val="00842F0C"/>
    <w:rsid w:val="0084431C"/>
    <w:rsid w:val="008516CB"/>
    <w:rsid w:val="0085348A"/>
    <w:rsid w:val="00854FC5"/>
    <w:rsid w:val="008719BB"/>
    <w:rsid w:val="00876767"/>
    <w:rsid w:val="008B0206"/>
    <w:rsid w:val="008B1300"/>
    <w:rsid w:val="008D74B9"/>
    <w:rsid w:val="00936425"/>
    <w:rsid w:val="00946D85"/>
    <w:rsid w:val="00953021"/>
    <w:rsid w:val="00954231"/>
    <w:rsid w:val="009571F2"/>
    <w:rsid w:val="00961612"/>
    <w:rsid w:val="00973C05"/>
    <w:rsid w:val="00974296"/>
    <w:rsid w:val="00974546"/>
    <w:rsid w:val="0097714F"/>
    <w:rsid w:val="0098619F"/>
    <w:rsid w:val="00994FD4"/>
    <w:rsid w:val="009958B3"/>
    <w:rsid w:val="009A49E5"/>
    <w:rsid w:val="009C28A8"/>
    <w:rsid w:val="009C2DE3"/>
    <w:rsid w:val="009E1D29"/>
    <w:rsid w:val="009E7D8E"/>
    <w:rsid w:val="009F0994"/>
    <w:rsid w:val="00A671F2"/>
    <w:rsid w:val="00A76ADB"/>
    <w:rsid w:val="00A85DF3"/>
    <w:rsid w:val="00AD13E8"/>
    <w:rsid w:val="00AD1647"/>
    <w:rsid w:val="00AF309C"/>
    <w:rsid w:val="00B2037F"/>
    <w:rsid w:val="00B21A08"/>
    <w:rsid w:val="00B277E9"/>
    <w:rsid w:val="00B30FFB"/>
    <w:rsid w:val="00B318B0"/>
    <w:rsid w:val="00B33C7F"/>
    <w:rsid w:val="00B4338F"/>
    <w:rsid w:val="00B76562"/>
    <w:rsid w:val="00BB1E2A"/>
    <w:rsid w:val="00BC78B7"/>
    <w:rsid w:val="00BE0432"/>
    <w:rsid w:val="00C00904"/>
    <w:rsid w:val="00C02136"/>
    <w:rsid w:val="00C17B63"/>
    <w:rsid w:val="00C27FE1"/>
    <w:rsid w:val="00C31279"/>
    <w:rsid w:val="00C32C29"/>
    <w:rsid w:val="00C34F6D"/>
    <w:rsid w:val="00C36910"/>
    <w:rsid w:val="00C473A4"/>
    <w:rsid w:val="00C76288"/>
    <w:rsid w:val="00C7759E"/>
    <w:rsid w:val="00C9282E"/>
    <w:rsid w:val="00C96C3B"/>
    <w:rsid w:val="00CA3258"/>
    <w:rsid w:val="00CA7A14"/>
    <w:rsid w:val="00CB52E0"/>
    <w:rsid w:val="00CD05C6"/>
    <w:rsid w:val="00CD1F33"/>
    <w:rsid w:val="00CD302E"/>
    <w:rsid w:val="00CE06EE"/>
    <w:rsid w:val="00CE27C9"/>
    <w:rsid w:val="00D03B87"/>
    <w:rsid w:val="00D064B0"/>
    <w:rsid w:val="00D259F5"/>
    <w:rsid w:val="00D450FA"/>
    <w:rsid w:val="00D530CC"/>
    <w:rsid w:val="00D61AE4"/>
    <w:rsid w:val="00D64F25"/>
    <w:rsid w:val="00D71C83"/>
    <w:rsid w:val="00D7472F"/>
    <w:rsid w:val="00E15B5B"/>
    <w:rsid w:val="00E344E2"/>
    <w:rsid w:val="00E5574B"/>
    <w:rsid w:val="00E85447"/>
    <w:rsid w:val="00E91F4A"/>
    <w:rsid w:val="00EA3B1F"/>
    <w:rsid w:val="00EB63EB"/>
    <w:rsid w:val="00EC304D"/>
    <w:rsid w:val="00EC3BC9"/>
    <w:rsid w:val="00EC5792"/>
    <w:rsid w:val="00ED1377"/>
    <w:rsid w:val="00EE591C"/>
    <w:rsid w:val="00F133D0"/>
    <w:rsid w:val="00F25365"/>
    <w:rsid w:val="00F72CF1"/>
    <w:rsid w:val="00F82768"/>
    <w:rsid w:val="00F85505"/>
    <w:rsid w:val="00FA2CCA"/>
    <w:rsid w:val="00FC1048"/>
    <w:rsid w:val="00FC43AE"/>
    <w:rsid w:val="00FD600D"/>
    <w:rsid w:val="00FE22D9"/>
    <w:rsid w:val="00FE5BDA"/>
    <w:rsid w:val="00FF69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49953"/>
  <w15:docId w15:val="{2269321A-4AB3-45B0-AEF0-42F46475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aliases w:val=" Char, Char Char"/>
    <w:basedOn w:val="Normal"/>
    <w:link w:val="BodyText2Char"/>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1Char">
    <w:name w:val="Char Char1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paragraph" w:styleId="NormalIndent">
    <w:name w:val="Normal Indent"/>
    <w:basedOn w:val="Normal"/>
    <w:rsid w:val="003D4054"/>
    <w:pPr>
      <w:overflowPunct/>
      <w:autoSpaceDE/>
      <w:autoSpaceDN/>
      <w:adjustRightInd/>
      <w:ind w:left="720"/>
      <w:textAlignment w:val="auto"/>
    </w:pPr>
    <w:rPr>
      <w:rFonts w:ascii="Timok" w:hAnsi="Timok"/>
      <w:sz w:val="28"/>
      <w:lang w:val="en-GB"/>
    </w:rPr>
  </w:style>
  <w:style w:type="character" w:customStyle="1" w:styleId="FooterChar">
    <w:name w:val="Footer Char"/>
    <w:link w:val="Footer"/>
    <w:uiPriority w:val="99"/>
    <w:rsid w:val="00FC1048"/>
    <w:rPr>
      <w:rFonts w:ascii="Arial" w:hAnsi="Arial"/>
      <w:lang w:val="en-US" w:eastAsia="en-US"/>
    </w:rPr>
  </w:style>
  <w:style w:type="character" w:customStyle="1" w:styleId="BodyText2Char">
    <w:name w:val="Body Text 2 Char"/>
    <w:aliases w:val=" Char Char1, Char Char Char"/>
    <w:link w:val="BodyText2"/>
    <w:rsid w:val="007F6AA4"/>
    <w:rPr>
      <w:sz w:val="24"/>
      <w:lang w:eastAsia="en-US"/>
    </w:rPr>
  </w:style>
  <w:style w:type="paragraph" w:styleId="ListParagraph">
    <w:name w:val="List Paragraph"/>
    <w:basedOn w:val="Normal"/>
    <w:uiPriority w:val="34"/>
    <w:qFormat/>
    <w:rsid w:val="007F6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8851">
      <w:bodyDiv w:val="1"/>
      <w:marLeft w:val="0"/>
      <w:marRight w:val="0"/>
      <w:marTop w:val="0"/>
      <w:marBottom w:val="0"/>
      <w:divBdr>
        <w:top w:val="none" w:sz="0" w:space="0" w:color="auto"/>
        <w:left w:val="none" w:sz="0" w:space="0" w:color="auto"/>
        <w:bottom w:val="none" w:sz="0" w:space="0" w:color="auto"/>
        <w:right w:val="none" w:sz="0" w:space="0" w:color="auto"/>
      </w:divBdr>
    </w:div>
    <w:div w:id="736126519">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2C559-B8D9-4643-B272-C283D2B4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1157</Words>
  <Characters>6598</Characters>
  <Application>Microsoft Office Word</Application>
  <DocSecurity>0</DocSecurity>
  <Lines>54</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Galina Dimitrova</cp:lastModifiedBy>
  <cp:revision>11</cp:revision>
  <cp:lastPrinted>2023-06-02T13:38:00Z</cp:lastPrinted>
  <dcterms:created xsi:type="dcterms:W3CDTF">2023-06-12T10:39:00Z</dcterms:created>
  <dcterms:modified xsi:type="dcterms:W3CDTF">2024-04-01T08:24:00Z</dcterms:modified>
</cp:coreProperties>
</file>