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Override PartName="/word/numbering.xml" ContentType="application/vnd.openxmlformats-officedocument.wordprocessingml.numbering+xml"/>
  <Override PartName="/docProps/custom.xml" ContentType="application/vnd.openxmlformats-officedocument.custom-properties+xml"/>
  <Override PartName="/word/comments.xml" ContentType="application/vnd.openxmlformats-officedocument.wordprocessingml.comments+xml"/>
</Types>
</file>

<file path=_rels/.rels><?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 Id="rId4" Type="http://schemas.openxmlformats.org/officeDocument/2006/relationships/custom-properties" Target="docProps/custom.xml" />
</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p>
      <w:pPr>
        <w:spacing w:after="0" w:line="200" w:lineRule="exact"/>
        <w:rPr>
          <w:sz w:val="24"/>
          <w:szCs w:val="24"/>
          <w:color w:val="auto"/>
        </w:rPr>
      </w:pPr>
      <w:r>
        <w:rPr>
          <w:sz w:val="24"/>
          <w:szCs w:val="24"/>
          <w:color w:val="auto"/>
        </w:rPr>
        <w:drawing>
          <wp:anchor simplePos="0" relativeHeight="251657728" behindDoc="1" locked="0" layoutInCell="0" allowOverlap="1">
            <wp:simplePos x="0" y="0"/>
            <wp:positionH relativeFrom="page">
              <wp:posOffset>898525</wp:posOffset>
            </wp:positionH>
            <wp:positionV relativeFrom="page">
              <wp:posOffset>327025</wp:posOffset>
            </wp:positionV>
            <wp:extent cx="6296025" cy="12096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clrChange>
                        <a:clrFrom>
                          <a:srgbClr val="FFFFFF"/>
                        </a:clrFrom>
                        <a:clrTo>
                          <a:srgbClr val="FFFFFF">
                            <a:alpha val="0"/>
                          </a:srgbClr>
                        </a:clrTo>
                      </a:clrChange>
                      <a:extLst>
                        <a:ext uri="{28A0092B-C50C-407E-A947-70E740481C1C}"/>
                      </a:extLst>
                    </a:blip>
                    <a:srcRect/>
                    <a:stretch>
                      <a:fillRect/>
                    </a:stretch>
                  </pic:blipFill>
                  <pic:spPr bwMode="auto">
                    <a:xfrm>
                      <a:off x="0" y="0"/>
                      <a:ext cx="6296025" cy="1209675"/>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88" w:lineRule="exact"/>
        <w:rPr>
          <w:sz w:val="24"/>
          <w:szCs w:val="24"/>
          <w:color w:val="auto"/>
        </w:rPr>
      </w:pPr>
    </w:p>
    <w:p>
      <w:pPr>
        <w:ind w:left="2860"/>
        <w:spacing w:after="0"/>
        <w:rPr>
          <w:sz w:val="20"/>
          <w:szCs w:val="20"/>
          <w:color w:val="auto"/>
        </w:rPr>
      </w:pPr>
      <w:r>
        <w:rPr>
          <w:rFonts w:ascii="Times New Roman" w:cs="Times New Roman" w:eastAsia="Times New Roman" w:hAnsi="Times New Roman"/>
          <w:sz w:val="48"/>
          <w:szCs w:val="48"/>
          <w:b w:val="1"/>
          <w:bCs w:val="1"/>
          <w:color w:val="auto"/>
        </w:rPr>
        <w:t>ПРЕДЛОЖЕНИЕ</w:t>
      </w:r>
    </w:p>
    <w:p>
      <w:pPr>
        <w:ind w:left="2740"/>
        <w:spacing w:after="0"/>
        <w:rPr>
          <w:sz w:val="20"/>
          <w:szCs w:val="20"/>
          <w:color w:val="auto"/>
        </w:rPr>
      </w:pPr>
      <w:r>
        <w:rPr>
          <w:rFonts w:ascii="Times New Roman" w:cs="Times New Roman" w:eastAsia="Times New Roman" w:hAnsi="Times New Roman"/>
          <w:sz w:val="48"/>
          <w:szCs w:val="48"/>
          <w:b w:val="1"/>
          <w:bCs w:val="1"/>
          <w:color w:val="auto"/>
        </w:rPr>
        <w:t>ЗА УПРАВЛЕНИЕ</w:t>
      </w:r>
    </w:p>
    <w:p>
      <w:pPr>
        <w:jc w:val="center"/>
        <w:spacing w:after="0"/>
        <w:rPr>
          <w:sz w:val="20"/>
          <w:szCs w:val="20"/>
          <w:color w:val="auto"/>
        </w:rPr>
      </w:pPr>
      <w:r>
        <w:rPr>
          <w:rFonts w:ascii="Times New Roman" w:cs="Times New Roman" w:eastAsia="Times New Roman" w:hAnsi="Times New Roman"/>
          <w:sz w:val="48"/>
          <w:szCs w:val="48"/>
          <w:b w:val="1"/>
          <w:bCs w:val="1"/>
          <w:color w:val="auto"/>
        </w:rPr>
        <w:t>НА МИННИТЕ ОТПАДЪЦИ</w:t>
      </w:r>
    </w:p>
    <w:p>
      <w:pPr>
        <w:spacing w:after="0" w:line="332" w:lineRule="exact"/>
        <w:rPr>
          <w:sz w:val="24"/>
          <w:szCs w:val="24"/>
          <w:color w:val="auto"/>
        </w:rPr>
      </w:pPr>
    </w:p>
    <w:p>
      <w:pPr>
        <w:jc w:val="center"/>
        <w:spacing w:after="0"/>
        <w:rPr>
          <w:sz w:val="20"/>
          <w:szCs w:val="20"/>
          <w:color w:val="auto"/>
        </w:rPr>
      </w:pPr>
      <w:r>
        <w:rPr>
          <w:rFonts w:ascii="Times New Roman" w:cs="Times New Roman" w:eastAsia="Times New Roman" w:hAnsi="Times New Roman"/>
          <w:sz w:val="36"/>
          <w:szCs w:val="36"/>
          <w:color w:val="auto"/>
        </w:rPr>
        <w:t>при осъществяване на инвестиционно предложение:</w:t>
      </w:r>
    </w:p>
    <w:p>
      <w:pPr>
        <w:spacing w:after="0" w:line="1" w:lineRule="exact"/>
        <w:rPr>
          <w:sz w:val="24"/>
          <w:szCs w:val="24"/>
          <w:color w:val="auto"/>
        </w:rPr>
      </w:pPr>
    </w:p>
    <w:p>
      <w:pPr>
        <w:jc w:val="center"/>
        <w:spacing w:after="0" w:line="252" w:lineRule="auto"/>
        <w:rPr>
          <w:sz w:val="20"/>
          <w:szCs w:val="20"/>
          <w:color w:val="auto"/>
        </w:rPr>
      </w:pPr>
      <w:r>
        <w:rPr>
          <w:rFonts w:ascii="Times New Roman" w:cs="Times New Roman" w:eastAsia="Times New Roman" w:hAnsi="Times New Roman"/>
          <w:sz w:val="36"/>
          <w:szCs w:val="36"/>
          <w:b w:val="1"/>
          <w:bCs w:val="1"/>
          <w:color w:val="auto"/>
        </w:rPr>
        <w:t>„Добив на подземни богатства – индустриални минерали – глауконитови пясъчници от находище „ГЛОРИЯ”, разположено в землищата на с. Мало Пещене и с. Голямо Пещене, общ. Враца, обл. Враца”</w:t>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302" w:lineRule="exact"/>
        <w:rPr>
          <w:sz w:val="24"/>
          <w:szCs w:val="24"/>
          <w:color w:val="auto"/>
        </w:rPr>
      </w:pPr>
    </w:p>
    <w:p>
      <w:pPr>
        <w:ind w:left="5300"/>
        <w:spacing w:after="0"/>
        <w:rPr>
          <w:sz w:val="20"/>
          <w:szCs w:val="20"/>
          <w:color w:val="auto"/>
        </w:rPr>
      </w:pPr>
      <w:r>
        <w:rPr>
          <w:rFonts w:ascii="Times New Roman" w:cs="Times New Roman" w:eastAsia="Times New Roman" w:hAnsi="Times New Roman"/>
          <w:sz w:val="28"/>
          <w:szCs w:val="28"/>
          <w:b w:val="1"/>
          <w:bCs w:val="1"/>
          <w:color w:val="auto"/>
        </w:rPr>
        <w:t>Управител:</w:t>
      </w:r>
    </w:p>
    <w:p>
      <w:pPr>
        <w:spacing w:after="0" w:line="321" w:lineRule="exact"/>
        <w:rPr>
          <w:sz w:val="24"/>
          <w:szCs w:val="24"/>
          <w:color w:val="auto"/>
        </w:rPr>
      </w:pPr>
    </w:p>
    <w:p>
      <w:pPr>
        <w:ind w:left="6920"/>
        <w:spacing w:after="0"/>
        <w:rPr>
          <w:sz w:val="20"/>
          <w:szCs w:val="20"/>
          <w:color w:val="auto"/>
        </w:rPr>
      </w:pPr>
      <w:r>
        <w:rPr>
          <w:rFonts w:ascii="Times New Roman" w:cs="Times New Roman" w:eastAsia="Times New Roman" w:hAnsi="Times New Roman"/>
          <w:sz w:val="28"/>
          <w:szCs w:val="28"/>
          <w:b w:val="1"/>
          <w:bCs w:val="1"/>
          <w:color w:val="auto"/>
        </w:rPr>
        <w:t>/д-р Никола Вардев/</w:t>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19" w:lineRule="exact"/>
        <w:rPr>
          <w:sz w:val="24"/>
          <w:szCs w:val="24"/>
          <w:color w:val="auto"/>
        </w:rPr>
      </w:pPr>
    </w:p>
    <w:p>
      <w:pPr>
        <w:jc w:val="center"/>
        <w:spacing w:after="0"/>
        <w:rPr>
          <w:sz w:val="20"/>
          <w:szCs w:val="20"/>
          <w:color w:val="auto"/>
        </w:rPr>
      </w:pPr>
      <w:r>
        <w:rPr>
          <w:rFonts w:ascii="Times New Roman" w:cs="Times New Roman" w:eastAsia="Times New Roman" w:hAnsi="Times New Roman"/>
          <w:sz w:val="28"/>
          <w:szCs w:val="28"/>
          <w:b w:val="1"/>
          <w:bCs w:val="1"/>
          <w:color w:val="auto"/>
        </w:rPr>
        <w:t>София</w:t>
      </w:r>
    </w:p>
    <w:p>
      <w:pPr>
        <w:jc w:val="center"/>
        <w:spacing w:after="0"/>
        <w:rPr>
          <w:sz w:val="20"/>
          <w:szCs w:val="20"/>
          <w:color w:val="auto"/>
        </w:rPr>
      </w:pPr>
      <w:r>
        <w:rPr>
          <w:rFonts w:ascii="Times New Roman" w:cs="Times New Roman" w:eastAsia="Times New Roman" w:hAnsi="Times New Roman"/>
          <w:sz w:val="28"/>
          <w:szCs w:val="28"/>
          <w:b w:val="1"/>
          <w:bCs w:val="1"/>
          <w:color w:val="auto"/>
        </w:rPr>
        <w:t>Декември, 2017 г.</w:t>
      </w:r>
    </w:p>
    <w:p>
      <w:pPr>
        <w:sectPr>
          <w:pgSz w:w="11920" w:h="16850" w:orient="portrait"/>
          <w:cols w:equalWidth="0" w:num="1">
            <w:col w:w="9620"/>
          </w:cols>
          <w:pgMar w:left="1360" w:top="1440" w:right="931" w:bottom="286" w:gutter="0" w:footer="0" w:header="0"/>
        </w:sectPr>
      </w:pPr>
    </w:p>
    <w:p>
      <w:pPr>
        <w:jc w:val="both"/>
        <w:ind w:left="9"/>
        <w:spacing w:after="0" w:line="255" w:lineRule="auto"/>
        <w:rPr>
          <w:sz w:val="20"/>
          <w:szCs w:val="20"/>
          <w:color w:val="auto"/>
        </w:rPr>
      </w:pPr>
      <w:r>
        <w:rPr>
          <w:rFonts w:ascii="Times New Roman" w:cs="Times New Roman" w:eastAsia="Times New Roman" w:hAnsi="Times New Roman"/>
          <w:sz w:val="20"/>
          <w:szCs w:val="20"/>
          <w:b w:val="1"/>
          <w:bCs w:val="1"/>
          <w:color w:val="auto"/>
        </w:rPr>
        <w:t xml:space="preserve">ПРЕДЛОЖЕНИЕ ЗА УПРАВЛЕНИЕ НА МИННИТЕ ОТПАДЪЦИ при осъществяване на инвестиционно предложение: „Добив на подземни богатства – индустриални минерали - глауконитови пясъчници от находище </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b w:val="1"/>
          <w:bCs w:val="1"/>
          <w:color w:val="auto"/>
        </w:rPr>
        <w:t>ГЛОРИЯ</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b w:val="1"/>
          <w:bCs w:val="1"/>
          <w:color w:val="auto"/>
        </w:rPr>
        <w:t>,</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разположено в землищата на с.</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Мало Пещене и с.</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Голямо Пещене,</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община Враца,</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област Враца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-6985</wp:posOffset>
                </wp:positionH>
                <wp:positionV relativeFrom="paragraph">
                  <wp:posOffset>15875</wp:posOffset>
                </wp:positionV>
                <wp:extent cx="6552565" cy="0"/>
                <wp:wrapNone/>
                <wp:docPr id="2" name="Shape 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52565" cy="4763"/>
                        </a:xfrm>
                        <a:prstGeom prst="line">
                          <a:avLst/>
                        </a:prstGeom>
                        <a:solidFill>
                          <a:srgbClr val="FFFFFF"/>
                        </a:solidFill>
                        <a:ln w="9525">
                          <a:solidFill>
                            <a:srgbClr val="969696"/>
                          </a:solidFill>
                          <a:miter lim="800000"/>
                          <a:headEnd/>
                          <a:tailEnd/>
                        </a:ln>
                      </wps:spPr>
                      <wps:bodyPr/>
                    </wps:wsp>
                  </a:graphicData>
                </a:graphic>
              </wp:anchor>
            </w:drawing>
          </mc:Choice>
          <mc:Fallback>
            <w:pict>
              <v:line id="Shape 2" o:spid="_x0000_s102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499pt,1.25pt" to="515.4pt,1.25pt" o:allowincell="f" strokecolor="#969696" strokeweight="0.75pt"/>
            </w:pict>
          </mc:Fallback>
        </mc:AlternateContent>
      </w:r>
    </w:p>
    <w:p>
      <w:pPr>
        <w:spacing w:after="0" w:line="200" w:lineRule="exact"/>
        <w:rPr>
          <w:sz w:val="20"/>
          <w:szCs w:val="20"/>
          <w:color w:val="auto"/>
        </w:rPr>
      </w:pPr>
    </w:p>
    <w:p>
      <w:pPr>
        <w:spacing w:after="0" w:line="231" w:lineRule="exact"/>
        <w:rPr>
          <w:sz w:val="20"/>
          <w:szCs w:val="20"/>
          <w:color w:val="auto"/>
        </w:rPr>
      </w:pPr>
    </w:p>
    <w:p>
      <w:pPr>
        <w:jc w:val="center"/>
        <w:ind w:right="-8"/>
        <w:spacing w:after="0"/>
        <w:rPr>
          <w:sz w:val="20"/>
          <w:szCs w:val="20"/>
          <w:color w:val="auto"/>
        </w:rPr>
      </w:pPr>
      <w:r>
        <w:rPr>
          <w:rFonts w:ascii="Times New Roman" w:cs="Times New Roman" w:eastAsia="Times New Roman" w:hAnsi="Times New Roman"/>
          <w:sz w:val="24"/>
          <w:szCs w:val="24"/>
          <w:b w:val="1"/>
          <w:bCs w:val="1"/>
          <w:color w:val="auto"/>
        </w:rPr>
        <w:t>С Ъ Д Ъ Р Ж А Н И Е</w:t>
      </w:r>
    </w:p>
    <w:p>
      <w:pPr>
        <w:spacing w:after="0" w:line="235" w:lineRule="exact"/>
        <w:rPr>
          <w:sz w:val="20"/>
          <w:szCs w:val="20"/>
          <w:color w:val="auto"/>
        </w:rPr>
      </w:pPr>
    </w:p>
    <w:tbl>
      <w:tblPr>
        <w:tblLayout w:type="fixed"/>
        <w:tblInd w:w="9" w:type="dxa"/>
        <w:tblCellMar>
          <w:top w:w="0" w:type="dxa"/>
          <w:left w:w="0" w:type="dxa"/>
          <w:bottom w:w="0" w:type="dxa"/>
          <w:right w:w="0" w:type="dxa"/>
        </w:tblCellMar>
      </w:tblPr>
      <w:tr>
        <w:trPr>
          <w:trHeight w:val="230"/>
        </w:trPr>
        <w:tc>
          <w:tcPr>
            <w:tcW w:w="10140" w:type="dxa"/>
            <w:vAlign w:val="bottom"/>
            <w:gridSpan w:val="3"/>
          </w:tcPr>
          <w:p>
            <w:pPr>
              <w:jc w:val="right"/>
              <w:spacing w:after="0"/>
              <w:rPr>
                <w:sz w:val="20"/>
                <w:szCs w:val="20"/>
                <w:color w:val="auto"/>
              </w:rPr>
            </w:pPr>
            <w:r>
              <w:rPr>
                <w:rFonts w:ascii="Times New Roman" w:cs="Times New Roman" w:eastAsia="Times New Roman" w:hAnsi="Times New Roman"/>
                <w:sz w:val="20"/>
                <w:szCs w:val="20"/>
                <w:color w:val="auto"/>
                <w:w w:val="99"/>
              </w:rPr>
              <w:t>ВЪВЕДЕНИЕ ..................................................................................................................................................................................</w:t>
            </w:r>
          </w:p>
        </w:tc>
        <w:tc>
          <w:tcPr>
            <w:tcW w:w="20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3</w:t>
            </w:r>
          </w:p>
        </w:tc>
      </w:tr>
      <w:tr>
        <w:trPr>
          <w:trHeight w:val="230"/>
        </w:trPr>
        <w:tc>
          <w:tcPr>
            <w:tcW w:w="10140" w:type="dxa"/>
            <w:vAlign w:val="bottom"/>
            <w:gridSpan w:val="3"/>
          </w:tcPr>
          <w:p>
            <w:pPr>
              <w:jc w:val="right"/>
              <w:spacing w:after="0"/>
              <w:rPr>
                <w:sz w:val="20"/>
                <w:szCs w:val="20"/>
                <w:color w:val="auto"/>
              </w:rPr>
            </w:pPr>
            <w:r>
              <w:rPr>
                <w:rFonts w:ascii="Times New Roman" w:cs="Times New Roman" w:eastAsia="Times New Roman" w:hAnsi="Times New Roman"/>
                <w:sz w:val="20"/>
                <w:szCs w:val="20"/>
                <w:color w:val="auto"/>
                <w:w w:val="99"/>
              </w:rPr>
              <w:t>1. САМОЛИЧНОСТ НА ОПЕРАТОРА. АДРЕС НА СЪОРЪЖЕНИЕТО ЗА МИННИ ОТПАДЪЦИ ...................................</w:t>
            </w:r>
          </w:p>
        </w:tc>
        <w:tc>
          <w:tcPr>
            <w:tcW w:w="20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3</w:t>
            </w:r>
          </w:p>
        </w:tc>
      </w:tr>
      <w:tr>
        <w:trPr>
          <w:trHeight w:val="230"/>
        </w:trPr>
        <w:tc>
          <w:tcPr>
            <w:tcW w:w="10140" w:type="dxa"/>
            <w:vAlign w:val="bottom"/>
            <w:gridSpan w:val="3"/>
          </w:tcPr>
          <w:p>
            <w:pPr>
              <w:jc w:val="right"/>
              <w:spacing w:after="0"/>
              <w:rPr>
                <w:sz w:val="20"/>
                <w:szCs w:val="20"/>
                <w:color w:val="auto"/>
              </w:rPr>
            </w:pPr>
            <w:r>
              <w:rPr>
                <w:rFonts w:ascii="Times New Roman" w:cs="Times New Roman" w:eastAsia="Times New Roman" w:hAnsi="Times New Roman"/>
                <w:sz w:val="20"/>
                <w:szCs w:val="20"/>
                <w:color w:val="auto"/>
                <w:w w:val="99"/>
              </w:rPr>
              <w:t>2. ДЕЙНОСТИ, В РЕЗУЛТАТ НА КОИТО СЕ ГЕНЕРИРАТ МИННИ ОТПАДЪЦИ.............................................................</w:t>
            </w:r>
          </w:p>
        </w:tc>
        <w:tc>
          <w:tcPr>
            <w:tcW w:w="20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5</w:t>
            </w:r>
          </w:p>
        </w:tc>
      </w:tr>
      <w:tr>
        <w:trPr>
          <w:trHeight w:val="228"/>
        </w:trPr>
        <w:tc>
          <w:tcPr>
            <w:tcW w:w="10140" w:type="dxa"/>
            <w:vAlign w:val="bottom"/>
            <w:gridSpan w:val="3"/>
          </w:tcPr>
          <w:p>
            <w:pPr>
              <w:jc w:val="right"/>
              <w:spacing w:after="0" w:line="228" w:lineRule="exact"/>
              <w:rPr>
                <w:sz w:val="20"/>
                <w:szCs w:val="20"/>
                <w:color w:val="auto"/>
              </w:rPr>
            </w:pPr>
            <w:r>
              <w:rPr>
                <w:rFonts w:ascii="Times New Roman" w:cs="Times New Roman" w:eastAsia="Times New Roman" w:hAnsi="Times New Roman"/>
                <w:sz w:val="20"/>
                <w:szCs w:val="20"/>
                <w:color w:val="auto"/>
                <w:w w:val="99"/>
              </w:rPr>
              <w:t>3. ХАРАКТЕРИСТИКА И КЛАСИФИКАЦИЯ НА МИННИТЕ ОТПАДЪЦИ. ПРОГНОЗНО КОЛИЧЕСТВО ..................</w:t>
            </w:r>
          </w:p>
        </w:tc>
        <w:tc>
          <w:tcPr>
            <w:tcW w:w="200" w:type="dxa"/>
            <w:vAlign w:val="bottom"/>
          </w:tcPr>
          <w:p>
            <w:pPr>
              <w:jc w:val="right"/>
              <w:spacing w:after="0" w:line="228" w:lineRule="exact"/>
              <w:rPr>
                <w:sz w:val="20"/>
                <w:szCs w:val="20"/>
                <w:color w:val="auto"/>
              </w:rPr>
            </w:pPr>
            <w:r>
              <w:rPr>
                <w:rFonts w:ascii="Times New Roman" w:cs="Times New Roman" w:eastAsia="Times New Roman" w:hAnsi="Times New Roman"/>
                <w:sz w:val="20"/>
                <w:szCs w:val="20"/>
                <w:color w:val="auto"/>
              </w:rPr>
              <w:t>6</w:t>
            </w:r>
          </w:p>
        </w:tc>
      </w:tr>
      <w:tr>
        <w:trPr>
          <w:trHeight w:val="230"/>
        </w:trPr>
        <w:tc>
          <w:tcPr>
            <w:tcW w:w="46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3.1</w:t>
            </w:r>
          </w:p>
        </w:tc>
        <w:tc>
          <w:tcPr>
            <w:tcW w:w="9680" w:type="dxa"/>
            <w:vAlign w:val="bottom"/>
            <w:gridSpan w:val="2"/>
          </w:tcPr>
          <w:p>
            <w:pPr>
              <w:jc w:val="right"/>
              <w:spacing w:after="0"/>
              <w:rPr>
                <w:sz w:val="20"/>
                <w:szCs w:val="20"/>
                <w:color w:val="auto"/>
              </w:rPr>
            </w:pPr>
            <w:r>
              <w:rPr>
                <w:rFonts w:ascii="Times New Roman" w:cs="Times New Roman" w:eastAsia="Times New Roman" w:hAnsi="Times New Roman"/>
                <w:sz w:val="20"/>
                <w:szCs w:val="20"/>
                <w:color w:val="auto"/>
                <w:w w:val="99"/>
              </w:rPr>
              <w:t>Обща информация за находище „Глория“ .........................................................................................................................</w:t>
            </w:r>
          </w:p>
        </w:tc>
        <w:tc>
          <w:tcPr>
            <w:tcW w:w="20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6</w:t>
            </w:r>
          </w:p>
        </w:tc>
      </w:tr>
      <w:tr>
        <w:trPr>
          <w:trHeight w:val="230"/>
        </w:trPr>
        <w:tc>
          <w:tcPr>
            <w:tcW w:w="820" w:type="dxa"/>
            <w:vAlign w:val="bottom"/>
            <w:gridSpan w:val="2"/>
          </w:tcPr>
          <w:p>
            <w:pPr>
              <w:jc w:val="right"/>
              <w:spacing w:after="0"/>
              <w:rPr>
                <w:sz w:val="20"/>
                <w:szCs w:val="20"/>
                <w:color w:val="auto"/>
              </w:rPr>
            </w:pPr>
            <w:r>
              <w:rPr>
                <w:rFonts w:ascii="Times New Roman" w:cs="Times New Roman" w:eastAsia="Times New Roman" w:hAnsi="Times New Roman"/>
                <w:sz w:val="20"/>
                <w:szCs w:val="20"/>
                <w:color w:val="auto"/>
              </w:rPr>
              <w:t>3.1.1</w:t>
            </w:r>
          </w:p>
        </w:tc>
        <w:tc>
          <w:tcPr>
            <w:tcW w:w="9320" w:type="dxa"/>
            <w:vAlign w:val="bottom"/>
          </w:tcPr>
          <w:p>
            <w:pPr>
              <w:jc w:val="right"/>
              <w:spacing w:after="0"/>
              <w:rPr>
                <w:sz w:val="20"/>
                <w:szCs w:val="20"/>
                <w:color w:val="auto"/>
              </w:rPr>
            </w:pPr>
            <w:r>
              <w:rPr>
                <w:rFonts w:ascii="Times New Roman" w:cs="Times New Roman" w:eastAsia="Times New Roman" w:hAnsi="Times New Roman"/>
                <w:sz w:val="20"/>
                <w:szCs w:val="20"/>
                <w:color w:val="auto"/>
                <w:w w:val="99"/>
              </w:rPr>
              <w:t>Геологопроучвателна дейност ......................................................................................................................................</w:t>
            </w:r>
          </w:p>
        </w:tc>
        <w:tc>
          <w:tcPr>
            <w:tcW w:w="20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6</w:t>
            </w:r>
          </w:p>
        </w:tc>
      </w:tr>
      <w:tr>
        <w:trPr>
          <w:trHeight w:val="230"/>
        </w:trPr>
        <w:tc>
          <w:tcPr>
            <w:tcW w:w="820" w:type="dxa"/>
            <w:vAlign w:val="bottom"/>
            <w:gridSpan w:val="2"/>
          </w:tcPr>
          <w:p>
            <w:pPr>
              <w:jc w:val="right"/>
              <w:spacing w:after="0"/>
              <w:rPr>
                <w:sz w:val="20"/>
                <w:szCs w:val="20"/>
                <w:color w:val="auto"/>
              </w:rPr>
            </w:pPr>
            <w:r>
              <w:rPr>
                <w:rFonts w:ascii="Times New Roman" w:cs="Times New Roman" w:eastAsia="Times New Roman" w:hAnsi="Times New Roman"/>
                <w:sz w:val="20"/>
                <w:szCs w:val="20"/>
                <w:color w:val="auto"/>
              </w:rPr>
              <w:t>3.1.2</w:t>
            </w:r>
          </w:p>
        </w:tc>
        <w:tc>
          <w:tcPr>
            <w:tcW w:w="9320" w:type="dxa"/>
            <w:vAlign w:val="bottom"/>
          </w:tcPr>
          <w:p>
            <w:pPr>
              <w:jc w:val="right"/>
              <w:spacing w:after="0"/>
              <w:rPr>
                <w:sz w:val="20"/>
                <w:szCs w:val="20"/>
                <w:color w:val="auto"/>
              </w:rPr>
            </w:pPr>
            <w:r>
              <w:rPr>
                <w:rFonts w:ascii="Times New Roman" w:cs="Times New Roman" w:eastAsia="Times New Roman" w:hAnsi="Times New Roman"/>
                <w:sz w:val="20"/>
                <w:szCs w:val="20"/>
                <w:color w:val="auto"/>
                <w:w w:val="99"/>
              </w:rPr>
              <w:t>Прилагани добивни технологии ...................................................................................................................................</w:t>
            </w:r>
          </w:p>
        </w:tc>
        <w:tc>
          <w:tcPr>
            <w:tcW w:w="20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7</w:t>
            </w:r>
          </w:p>
        </w:tc>
      </w:tr>
      <w:tr>
        <w:trPr>
          <w:trHeight w:val="230"/>
        </w:trPr>
        <w:tc>
          <w:tcPr>
            <w:tcW w:w="820" w:type="dxa"/>
            <w:vAlign w:val="bottom"/>
            <w:gridSpan w:val="2"/>
          </w:tcPr>
          <w:p>
            <w:pPr>
              <w:jc w:val="right"/>
              <w:spacing w:after="0"/>
              <w:rPr>
                <w:sz w:val="20"/>
                <w:szCs w:val="20"/>
                <w:color w:val="auto"/>
              </w:rPr>
            </w:pPr>
            <w:r>
              <w:rPr>
                <w:rFonts w:ascii="Times New Roman" w:cs="Times New Roman" w:eastAsia="Times New Roman" w:hAnsi="Times New Roman"/>
                <w:sz w:val="20"/>
                <w:szCs w:val="20"/>
                <w:color w:val="auto"/>
              </w:rPr>
              <w:t>3.1.3</w:t>
            </w:r>
          </w:p>
        </w:tc>
        <w:tc>
          <w:tcPr>
            <w:tcW w:w="9320" w:type="dxa"/>
            <w:vAlign w:val="bottom"/>
          </w:tcPr>
          <w:p>
            <w:pPr>
              <w:jc w:val="right"/>
              <w:spacing w:after="0"/>
              <w:rPr>
                <w:sz w:val="20"/>
                <w:szCs w:val="20"/>
                <w:color w:val="auto"/>
              </w:rPr>
            </w:pPr>
            <w:r>
              <w:rPr>
                <w:rFonts w:ascii="Times New Roman" w:cs="Times New Roman" w:eastAsia="Times New Roman" w:hAnsi="Times New Roman"/>
                <w:sz w:val="20"/>
                <w:szCs w:val="20"/>
                <w:color w:val="auto"/>
                <w:w w:val="99"/>
              </w:rPr>
              <w:t>Прилагани преработвателни технологии ....................................................................................................................</w:t>
            </w:r>
          </w:p>
        </w:tc>
        <w:tc>
          <w:tcPr>
            <w:tcW w:w="20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7</w:t>
            </w:r>
          </w:p>
        </w:tc>
      </w:tr>
      <w:tr>
        <w:trPr>
          <w:trHeight w:val="228"/>
        </w:trPr>
        <w:tc>
          <w:tcPr>
            <w:tcW w:w="820" w:type="dxa"/>
            <w:vAlign w:val="bottom"/>
            <w:gridSpan w:val="2"/>
          </w:tcPr>
          <w:p>
            <w:pPr>
              <w:jc w:val="right"/>
              <w:spacing w:after="0" w:line="228" w:lineRule="exact"/>
              <w:rPr>
                <w:sz w:val="20"/>
                <w:szCs w:val="20"/>
                <w:color w:val="auto"/>
              </w:rPr>
            </w:pPr>
            <w:r>
              <w:rPr>
                <w:rFonts w:ascii="Times New Roman" w:cs="Times New Roman" w:eastAsia="Times New Roman" w:hAnsi="Times New Roman"/>
                <w:sz w:val="20"/>
                <w:szCs w:val="20"/>
                <w:color w:val="auto"/>
              </w:rPr>
              <w:t>3.1.4</w:t>
            </w:r>
          </w:p>
        </w:tc>
        <w:tc>
          <w:tcPr>
            <w:tcW w:w="9320" w:type="dxa"/>
            <w:vAlign w:val="bottom"/>
          </w:tcPr>
          <w:p>
            <w:pPr>
              <w:jc w:val="right"/>
              <w:spacing w:after="0" w:line="228" w:lineRule="exact"/>
              <w:rPr>
                <w:sz w:val="20"/>
                <w:szCs w:val="20"/>
                <w:color w:val="auto"/>
              </w:rPr>
            </w:pPr>
            <w:r>
              <w:rPr>
                <w:rFonts w:ascii="Times New Roman" w:cs="Times New Roman" w:eastAsia="Times New Roman" w:hAnsi="Times New Roman"/>
                <w:sz w:val="20"/>
                <w:szCs w:val="20"/>
                <w:color w:val="auto"/>
                <w:w w:val="99"/>
              </w:rPr>
              <w:t>Изграждане на водосборници (утайници) ...................................................................................................................</w:t>
            </w:r>
          </w:p>
        </w:tc>
        <w:tc>
          <w:tcPr>
            <w:tcW w:w="200" w:type="dxa"/>
            <w:vAlign w:val="bottom"/>
          </w:tcPr>
          <w:p>
            <w:pPr>
              <w:jc w:val="right"/>
              <w:spacing w:after="0" w:line="228" w:lineRule="exact"/>
              <w:rPr>
                <w:sz w:val="20"/>
                <w:szCs w:val="20"/>
                <w:color w:val="auto"/>
              </w:rPr>
            </w:pPr>
            <w:r>
              <w:rPr>
                <w:rFonts w:ascii="Times New Roman" w:cs="Times New Roman" w:eastAsia="Times New Roman" w:hAnsi="Times New Roman"/>
                <w:sz w:val="20"/>
                <w:szCs w:val="20"/>
                <w:color w:val="auto"/>
              </w:rPr>
              <w:t>8</w:t>
            </w:r>
          </w:p>
        </w:tc>
      </w:tr>
      <w:tr>
        <w:trPr>
          <w:trHeight w:val="230"/>
        </w:trPr>
        <w:tc>
          <w:tcPr>
            <w:tcW w:w="820" w:type="dxa"/>
            <w:vAlign w:val="bottom"/>
            <w:gridSpan w:val="2"/>
          </w:tcPr>
          <w:p>
            <w:pPr>
              <w:jc w:val="right"/>
              <w:spacing w:after="0"/>
              <w:rPr>
                <w:sz w:val="20"/>
                <w:szCs w:val="20"/>
                <w:color w:val="auto"/>
              </w:rPr>
            </w:pPr>
            <w:r>
              <w:rPr>
                <w:rFonts w:ascii="Times New Roman" w:cs="Times New Roman" w:eastAsia="Times New Roman" w:hAnsi="Times New Roman"/>
                <w:sz w:val="20"/>
                <w:szCs w:val="20"/>
                <w:color w:val="auto"/>
              </w:rPr>
              <w:t>3.1.5</w:t>
            </w:r>
          </w:p>
        </w:tc>
        <w:tc>
          <w:tcPr>
            <w:tcW w:w="9320" w:type="dxa"/>
            <w:vAlign w:val="bottom"/>
          </w:tcPr>
          <w:p>
            <w:pPr>
              <w:jc w:val="right"/>
              <w:spacing w:after="0"/>
              <w:rPr>
                <w:sz w:val="20"/>
                <w:szCs w:val="20"/>
                <w:color w:val="auto"/>
              </w:rPr>
            </w:pPr>
            <w:r>
              <w:rPr>
                <w:rFonts w:ascii="Times New Roman" w:cs="Times New Roman" w:eastAsia="Times New Roman" w:hAnsi="Times New Roman"/>
                <w:sz w:val="20"/>
                <w:szCs w:val="20"/>
                <w:color w:val="auto"/>
                <w:w w:val="99"/>
              </w:rPr>
              <w:t>Характеристика на очакваните продукти ....................................................................................................................</w:t>
            </w:r>
          </w:p>
        </w:tc>
        <w:tc>
          <w:tcPr>
            <w:tcW w:w="20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8</w:t>
            </w:r>
          </w:p>
        </w:tc>
      </w:tr>
      <w:tr>
        <w:trPr>
          <w:trHeight w:val="230"/>
        </w:trPr>
        <w:tc>
          <w:tcPr>
            <w:tcW w:w="46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3.2</w:t>
            </w:r>
          </w:p>
        </w:tc>
        <w:tc>
          <w:tcPr>
            <w:tcW w:w="9680" w:type="dxa"/>
            <w:vAlign w:val="bottom"/>
            <w:gridSpan w:val="2"/>
          </w:tcPr>
          <w:p>
            <w:pPr>
              <w:jc w:val="right"/>
              <w:spacing w:after="0"/>
              <w:rPr>
                <w:sz w:val="20"/>
                <w:szCs w:val="20"/>
                <w:color w:val="auto"/>
              </w:rPr>
            </w:pPr>
            <w:r>
              <w:rPr>
                <w:rFonts w:ascii="Times New Roman" w:cs="Times New Roman" w:eastAsia="Times New Roman" w:hAnsi="Times New Roman"/>
                <w:sz w:val="20"/>
                <w:szCs w:val="20"/>
                <w:color w:val="auto"/>
                <w:w w:val="99"/>
              </w:rPr>
              <w:t>Геоложки данни за находище „Глория“ .............................................................................................................................</w:t>
            </w:r>
          </w:p>
        </w:tc>
        <w:tc>
          <w:tcPr>
            <w:tcW w:w="20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9</w:t>
            </w:r>
          </w:p>
        </w:tc>
      </w:tr>
      <w:tr>
        <w:trPr>
          <w:trHeight w:val="230"/>
        </w:trPr>
        <w:tc>
          <w:tcPr>
            <w:tcW w:w="820" w:type="dxa"/>
            <w:vAlign w:val="bottom"/>
            <w:gridSpan w:val="2"/>
          </w:tcPr>
          <w:p>
            <w:pPr>
              <w:jc w:val="right"/>
              <w:spacing w:after="0"/>
              <w:rPr>
                <w:sz w:val="20"/>
                <w:szCs w:val="20"/>
                <w:color w:val="auto"/>
              </w:rPr>
            </w:pPr>
            <w:r>
              <w:rPr>
                <w:rFonts w:ascii="Times New Roman" w:cs="Times New Roman" w:eastAsia="Times New Roman" w:hAnsi="Times New Roman"/>
                <w:sz w:val="20"/>
                <w:szCs w:val="20"/>
                <w:color w:val="auto"/>
              </w:rPr>
              <w:t>3.2.1</w:t>
            </w:r>
          </w:p>
        </w:tc>
        <w:tc>
          <w:tcPr>
            <w:tcW w:w="9320" w:type="dxa"/>
            <w:vAlign w:val="bottom"/>
          </w:tcPr>
          <w:p>
            <w:pPr>
              <w:jc w:val="right"/>
              <w:spacing w:after="0"/>
              <w:rPr>
                <w:sz w:val="20"/>
                <w:szCs w:val="20"/>
                <w:color w:val="auto"/>
              </w:rPr>
            </w:pPr>
            <w:r>
              <w:rPr>
                <w:rFonts w:ascii="Times New Roman" w:cs="Times New Roman" w:eastAsia="Times New Roman" w:hAnsi="Times New Roman"/>
                <w:sz w:val="20"/>
                <w:szCs w:val="20"/>
                <w:color w:val="auto"/>
                <w:w w:val="99"/>
              </w:rPr>
              <w:t>Характеристика на находището ...................................................................................................................................</w:t>
            </w:r>
          </w:p>
        </w:tc>
        <w:tc>
          <w:tcPr>
            <w:tcW w:w="20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9</w:t>
            </w:r>
          </w:p>
        </w:tc>
      </w:tr>
      <w:tr>
        <w:trPr>
          <w:trHeight w:val="230"/>
        </w:trPr>
        <w:tc>
          <w:tcPr>
            <w:tcW w:w="820" w:type="dxa"/>
            <w:vAlign w:val="bottom"/>
            <w:gridSpan w:val="2"/>
          </w:tcPr>
          <w:p>
            <w:pPr>
              <w:jc w:val="right"/>
              <w:spacing w:after="0"/>
              <w:rPr>
                <w:sz w:val="20"/>
                <w:szCs w:val="20"/>
                <w:color w:val="auto"/>
              </w:rPr>
            </w:pPr>
            <w:r>
              <w:rPr>
                <w:rFonts w:ascii="Times New Roman" w:cs="Times New Roman" w:eastAsia="Times New Roman" w:hAnsi="Times New Roman"/>
                <w:sz w:val="20"/>
                <w:szCs w:val="20"/>
                <w:color w:val="auto"/>
              </w:rPr>
              <w:t>3.2.2</w:t>
            </w:r>
          </w:p>
        </w:tc>
        <w:tc>
          <w:tcPr>
            <w:tcW w:w="932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Идентификация на видовете отпадъци ......................................................................................................................</w:t>
            </w:r>
          </w:p>
        </w:tc>
        <w:tc>
          <w:tcPr>
            <w:tcW w:w="200" w:type="dxa"/>
            <w:vAlign w:val="bottom"/>
          </w:tcPr>
          <w:p>
            <w:pPr>
              <w:jc w:val="right"/>
              <w:spacing w:after="0"/>
              <w:rPr>
                <w:sz w:val="20"/>
                <w:szCs w:val="20"/>
                <w:color w:val="auto"/>
              </w:rPr>
            </w:pPr>
            <w:r>
              <w:rPr>
                <w:rFonts w:ascii="Times New Roman" w:cs="Times New Roman" w:eastAsia="Times New Roman" w:hAnsi="Times New Roman"/>
                <w:sz w:val="20"/>
                <w:szCs w:val="20"/>
                <w:color w:val="auto"/>
                <w:w w:val="89"/>
              </w:rPr>
              <w:t>11</w:t>
            </w:r>
          </w:p>
        </w:tc>
      </w:tr>
      <w:tr>
        <w:trPr>
          <w:trHeight w:val="230"/>
        </w:trPr>
        <w:tc>
          <w:tcPr>
            <w:tcW w:w="46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3.3</w:t>
            </w:r>
          </w:p>
        </w:tc>
        <w:tc>
          <w:tcPr>
            <w:tcW w:w="9680" w:type="dxa"/>
            <w:vAlign w:val="bottom"/>
            <w:gridSpan w:val="2"/>
          </w:tcPr>
          <w:p>
            <w:pPr>
              <w:jc w:val="right"/>
              <w:spacing w:after="0"/>
              <w:rPr>
                <w:sz w:val="20"/>
                <w:szCs w:val="20"/>
                <w:color w:val="auto"/>
              </w:rPr>
            </w:pPr>
            <w:r>
              <w:rPr>
                <w:rFonts w:ascii="Times New Roman" w:cs="Times New Roman" w:eastAsia="Times New Roman" w:hAnsi="Times New Roman"/>
                <w:sz w:val="20"/>
                <w:szCs w:val="20"/>
                <w:color w:val="auto"/>
              </w:rPr>
              <w:t>Естество на минните отпадъци ..........................................................................................................................................</w:t>
            </w:r>
          </w:p>
        </w:tc>
        <w:tc>
          <w:tcPr>
            <w:tcW w:w="200" w:type="dxa"/>
            <w:vAlign w:val="bottom"/>
          </w:tcPr>
          <w:p>
            <w:pPr>
              <w:jc w:val="right"/>
              <w:spacing w:after="0"/>
              <w:rPr>
                <w:sz w:val="20"/>
                <w:szCs w:val="20"/>
                <w:color w:val="auto"/>
              </w:rPr>
            </w:pPr>
            <w:r>
              <w:rPr>
                <w:rFonts w:ascii="Times New Roman" w:cs="Times New Roman" w:eastAsia="Times New Roman" w:hAnsi="Times New Roman"/>
                <w:sz w:val="20"/>
                <w:szCs w:val="20"/>
                <w:color w:val="auto"/>
                <w:w w:val="89"/>
              </w:rPr>
              <w:t>11</w:t>
            </w:r>
          </w:p>
        </w:tc>
      </w:tr>
      <w:tr>
        <w:trPr>
          <w:trHeight w:val="228"/>
        </w:trPr>
        <w:tc>
          <w:tcPr>
            <w:tcW w:w="820" w:type="dxa"/>
            <w:vAlign w:val="bottom"/>
            <w:gridSpan w:val="2"/>
          </w:tcPr>
          <w:p>
            <w:pPr>
              <w:jc w:val="right"/>
              <w:spacing w:after="0" w:line="228" w:lineRule="exact"/>
              <w:rPr>
                <w:sz w:val="20"/>
                <w:szCs w:val="20"/>
                <w:color w:val="auto"/>
              </w:rPr>
            </w:pPr>
            <w:r>
              <w:rPr>
                <w:rFonts w:ascii="Times New Roman" w:cs="Times New Roman" w:eastAsia="Times New Roman" w:hAnsi="Times New Roman"/>
                <w:sz w:val="20"/>
                <w:szCs w:val="20"/>
                <w:color w:val="auto"/>
              </w:rPr>
              <w:t>3.3.1</w:t>
            </w:r>
          </w:p>
        </w:tc>
        <w:tc>
          <w:tcPr>
            <w:tcW w:w="9320" w:type="dxa"/>
            <w:vAlign w:val="bottom"/>
          </w:tcPr>
          <w:p>
            <w:pPr>
              <w:jc w:val="right"/>
              <w:spacing w:after="0" w:line="228" w:lineRule="exact"/>
              <w:rPr>
                <w:sz w:val="20"/>
                <w:szCs w:val="20"/>
                <w:color w:val="auto"/>
              </w:rPr>
            </w:pPr>
            <w:r>
              <w:rPr>
                <w:rFonts w:ascii="Times New Roman" w:cs="Times New Roman" w:eastAsia="Times New Roman" w:hAnsi="Times New Roman"/>
                <w:sz w:val="20"/>
                <w:szCs w:val="20"/>
                <w:color w:val="auto"/>
              </w:rPr>
              <w:t>Произход на отпадъците .............................................................................................................................................</w:t>
            </w:r>
          </w:p>
        </w:tc>
        <w:tc>
          <w:tcPr>
            <w:tcW w:w="200" w:type="dxa"/>
            <w:vAlign w:val="bottom"/>
          </w:tcPr>
          <w:p>
            <w:pPr>
              <w:jc w:val="right"/>
              <w:spacing w:after="0" w:line="228" w:lineRule="exact"/>
              <w:rPr>
                <w:sz w:val="20"/>
                <w:szCs w:val="20"/>
                <w:color w:val="auto"/>
              </w:rPr>
            </w:pPr>
            <w:r>
              <w:rPr>
                <w:rFonts w:ascii="Times New Roman" w:cs="Times New Roman" w:eastAsia="Times New Roman" w:hAnsi="Times New Roman"/>
                <w:sz w:val="20"/>
                <w:szCs w:val="20"/>
                <w:color w:val="auto"/>
                <w:w w:val="89"/>
              </w:rPr>
              <w:t>11</w:t>
            </w:r>
          </w:p>
        </w:tc>
      </w:tr>
      <w:tr>
        <w:trPr>
          <w:trHeight w:val="230"/>
        </w:trPr>
        <w:tc>
          <w:tcPr>
            <w:tcW w:w="820" w:type="dxa"/>
            <w:vAlign w:val="bottom"/>
            <w:gridSpan w:val="2"/>
          </w:tcPr>
          <w:p>
            <w:pPr>
              <w:jc w:val="right"/>
              <w:spacing w:after="0"/>
              <w:rPr>
                <w:sz w:val="20"/>
                <w:szCs w:val="20"/>
                <w:color w:val="auto"/>
              </w:rPr>
            </w:pPr>
            <w:r>
              <w:rPr>
                <w:rFonts w:ascii="Times New Roman" w:cs="Times New Roman" w:eastAsia="Times New Roman" w:hAnsi="Times New Roman"/>
                <w:sz w:val="20"/>
                <w:szCs w:val="20"/>
                <w:color w:val="auto"/>
              </w:rPr>
              <w:t>3.3.2</w:t>
            </w:r>
          </w:p>
        </w:tc>
        <w:tc>
          <w:tcPr>
            <w:tcW w:w="932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Количество на минните отпадъци ..............................................................................................................................</w:t>
            </w:r>
          </w:p>
        </w:tc>
        <w:tc>
          <w:tcPr>
            <w:tcW w:w="200" w:type="dxa"/>
            <w:vAlign w:val="bottom"/>
          </w:tcPr>
          <w:p>
            <w:pPr>
              <w:jc w:val="right"/>
              <w:spacing w:after="0"/>
              <w:rPr>
                <w:sz w:val="20"/>
                <w:szCs w:val="20"/>
                <w:color w:val="auto"/>
              </w:rPr>
            </w:pPr>
            <w:r>
              <w:rPr>
                <w:rFonts w:ascii="Times New Roman" w:cs="Times New Roman" w:eastAsia="Times New Roman" w:hAnsi="Times New Roman"/>
                <w:sz w:val="20"/>
                <w:szCs w:val="20"/>
                <w:color w:val="auto"/>
                <w:w w:val="89"/>
              </w:rPr>
              <w:t>12</w:t>
            </w:r>
          </w:p>
        </w:tc>
      </w:tr>
      <w:tr>
        <w:trPr>
          <w:trHeight w:val="230"/>
        </w:trPr>
        <w:tc>
          <w:tcPr>
            <w:tcW w:w="820" w:type="dxa"/>
            <w:vAlign w:val="bottom"/>
            <w:gridSpan w:val="2"/>
          </w:tcPr>
          <w:p>
            <w:pPr>
              <w:jc w:val="right"/>
              <w:spacing w:after="0"/>
              <w:rPr>
                <w:sz w:val="20"/>
                <w:szCs w:val="20"/>
                <w:color w:val="auto"/>
              </w:rPr>
            </w:pPr>
            <w:r>
              <w:rPr>
                <w:rFonts w:ascii="Times New Roman" w:cs="Times New Roman" w:eastAsia="Times New Roman" w:hAnsi="Times New Roman"/>
                <w:sz w:val="20"/>
                <w:szCs w:val="20"/>
                <w:color w:val="auto"/>
              </w:rPr>
              <w:t>3.3.3</w:t>
            </w:r>
          </w:p>
        </w:tc>
        <w:tc>
          <w:tcPr>
            <w:tcW w:w="932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Система за транспортиране на минните отпадъци ...................................................................................................</w:t>
            </w:r>
          </w:p>
        </w:tc>
        <w:tc>
          <w:tcPr>
            <w:tcW w:w="200" w:type="dxa"/>
            <w:vAlign w:val="bottom"/>
          </w:tcPr>
          <w:p>
            <w:pPr>
              <w:jc w:val="right"/>
              <w:spacing w:after="0"/>
              <w:rPr>
                <w:sz w:val="20"/>
                <w:szCs w:val="20"/>
                <w:color w:val="auto"/>
              </w:rPr>
            </w:pPr>
            <w:r>
              <w:rPr>
                <w:rFonts w:ascii="Times New Roman" w:cs="Times New Roman" w:eastAsia="Times New Roman" w:hAnsi="Times New Roman"/>
                <w:sz w:val="20"/>
                <w:szCs w:val="20"/>
                <w:color w:val="auto"/>
                <w:w w:val="89"/>
              </w:rPr>
              <w:t>12</w:t>
            </w:r>
          </w:p>
        </w:tc>
      </w:tr>
      <w:tr>
        <w:trPr>
          <w:trHeight w:val="230"/>
        </w:trPr>
        <w:tc>
          <w:tcPr>
            <w:tcW w:w="820" w:type="dxa"/>
            <w:vAlign w:val="bottom"/>
            <w:gridSpan w:val="2"/>
          </w:tcPr>
          <w:p>
            <w:pPr>
              <w:jc w:val="right"/>
              <w:spacing w:after="0"/>
              <w:rPr>
                <w:sz w:val="20"/>
                <w:szCs w:val="20"/>
                <w:color w:val="auto"/>
              </w:rPr>
            </w:pPr>
            <w:r>
              <w:rPr>
                <w:rFonts w:ascii="Times New Roman" w:cs="Times New Roman" w:eastAsia="Times New Roman" w:hAnsi="Times New Roman"/>
                <w:sz w:val="20"/>
                <w:szCs w:val="20"/>
                <w:color w:val="auto"/>
              </w:rPr>
              <w:t>3.3.4</w:t>
            </w:r>
          </w:p>
        </w:tc>
        <w:tc>
          <w:tcPr>
            <w:tcW w:w="932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Методи за депониране на минните отпадъци ...........................................................................................................</w:t>
            </w:r>
          </w:p>
        </w:tc>
        <w:tc>
          <w:tcPr>
            <w:tcW w:w="200" w:type="dxa"/>
            <w:vAlign w:val="bottom"/>
          </w:tcPr>
          <w:p>
            <w:pPr>
              <w:jc w:val="right"/>
              <w:spacing w:after="0"/>
              <w:rPr>
                <w:sz w:val="20"/>
                <w:szCs w:val="20"/>
                <w:color w:val="auto"/>
              </w:rPr>
            </w:pPr>
            <w:r>
              <w:rPr>
                <w:rFonts w:ascii="Times New Roman" w:cs="Times New Roman" w:eastAsia="Times New Roman" w:hAnsi="Times New Roman"/>
                <w:sz w:val="20"/>
                <w:szCs w:val="20"/>
                <w:color w:val="auto"/>
                <w:w w:val="89"/>
              </w:rPr>
              <w:t>12</w:t>
            </w:r>
          </w:p>
        </w:tc>
      </w:tr>
      <w:tr>
        <w:trPr>
          <w:trHeight w:val="230"/>
        </w:trPr>
        <w:tc>
          <w:tcPr>
            <w:tcW w:w="820" w:type="dxa"/>
            <w:vAlign w:val="bottom"/>
            <w:gridSpan w:val="2"/>
          </w:tcPr>
          <w:p>
            <w:pPr>
              <w:jc w:val="right"/>
              <w:spacing w:after="0"/>
              <w:rPr>
                <w:sz w:val="20"/>
                <w:szCs w:val="20"/>
                <w:color w:val="auto"/>
              </w:rPr>
            </w:pPr>
            <w:r>
              <w:rPr>
                <w:rFonts w:ascii="Times New Roman" w:cs="Times New Roman" w:eastAsia="Times New Roman" w:hAnsi="Times New Roman"/>
                <w:sz w:val="20"/>
                <w:szCs w:val="20"/>
                <w:color w:val="auto"/>
              </w:rPr>
              <w:t>3.3.5</w:t>
            </w:r>
          </w:p>
        </w:tc>
        <w:tc>
          <w:tcPr>
            <w:tcW w:w="932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Описание на химичните вещества и смеси, използвани при преработката ...........................................................</w:t>
            </w:r>
          </w:p>
        </w:tc>
        <w:tc>
          <w:tcPr>
            <w:tcW w:w="200" w:type="dxa"/>
            <w:vAlign w:val="bottom"/>
          </w:tcPr>
          <w:p>
            <w:pPr>
              <w:jc w:val="right"/>
              <w:spacing w:after="0"/>
              <w:rPr>
                <w:sz w:val="20"/>
                <w:szCs w:val="20"/>
                <w:color w:val="auto"/>
              </w:rPr>
            </w:pPr>
            <w:r>
              <w:rPr>
                <w:rFonts w:ascii="Times New Roman" w:cs="Times New Roman" w:eastAsia="Times New Roman" w:hAnsi="Times New Roman"/>
                <w:sz w:val="20"/>
                <w:szCs w:val="20"/>
                <w:color w:val="auto"/>
                <w:w w:val="89"/>
              </w:rPr>
              <w:t>12</w:t>
            </w:r>
          </w:p>
        </w:tc>
      </w:tr>
      <w:tr>
        <w:trPr>
          <w:trHeight w:val="230"/>
        </w:trPr>
        <w:tc>
          <w:tcPr>
            <w:tcW w:w="820" w:type="dxa"/>
            <w:vAlign w:val="bottom"/>
            <w:gridSpan w:val="2"/>
          </w:tcPr>
          <w:p>
            <w:pPr>
              <w:jc w:val="right"/>
              <w:spacing w:after="0"/>
              <w:rPr>
                <w:sz w:val="20"/>
                <w:szCs w:val="20"/>
                <w:color w:val="auto"/>
              </w:rPr>
            </w:pPr>
            <w:r>
              <w:rPr>
                <w:rFonts w:ascii="Times New Roman" w:cs="Times New Roman" w:eastAsia="Times New Roman" w:hAnsi="Times New Roman"/>
                <w:sz w:val="20"/>
                <w:szCs w:val="20"/>
                <w:color w:val="auto"/>
              </w:rPr>
              <w:t>3.3.6</w:t>
            </w:r>
          </w:p>
        </w:tc>
        <w:tc>
          <w:tcPr>
            <w:tcW w:w="932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Код и наименование на минните отпадъци ...............................................................................................................</w:t>
            </w:r>
          </w:p>
        </w:tc>
        <w:tc>
          <w:tcPr>
            <w:tcW w:w="200" w:type="dxa"/>
            <w:vAlign w:val="bottom"/>
          </w:tcPr>
          <w:p>
            <w:pPr>
              <w:jc w:val="right"/>
              <w:spacing w:after="0"/>
              <w:rPr>
                <w:sz w:val="20"/>
                <w:szCs w:val="20"/>
                <w:color w:val="auto"/>
              </w:rPr>
            </w:pPr>
            <w:r>
              <w:rPr>
                <w:rFonts w:ascii="Times New Roman" w:cs="Times New Roman" w:eastAsia="Times New Roman" w:hAnsi="Times New Roman"/>
                <w:sz w:val="20"/>
                <w:szCs w:val="20"/>
                <w:color w:val="auto"/>
                <w:w w:val="89"/>
              </w:rPr>
              <w:t>12</w:t>
            </w:r>
          </w:p>
        </w:tc>
      </w:tr>
      <w:tr>
        <w:trPr>
          <w:trHeight w:val="228"/>
        </w:trPr>
        <w:tc>
          <w:tcPr>
            <w:tcW w:w="10140" w:type="dxa"/>
            <w:vAlign w:val="bottom"/>
            <w:gridSpan w:val="3"/>
          </w:tcPr>
          <w:p>
            <w:pPr>
              <w:jc w:val="right"/>
              <w:spacing w:after="0" w:line="228" w:lineRule="exact"/>
              <w:rPr>
                <w:sz w:val="20"/>
                <w:szCs w:val="20"/>
                <w:color w:val="auto"/>
              </w:rPr>
            </w:pPr>
            <w:r>
              <w:rPr>
                <w:rFonts w:ascii="Times New Roman" w:cs="Times New Roman" w:eastAsia="Times New Roman" w:hAnsi="Times New Roman"/>
                <w:sz w:val="20"/>
                <w:szCs w:val="20"/>
                <w:color w:val="auto"/>
              </w:rPr>
              <w:t>3.3.7 Тип на съоръжението, в което ще се депонират минните отпадъци .......................................................................</w:t>
            </w:r>
          </w:p>
        </w:tc>
        <w:tc>
          <w:tcPr>
            <w:tcW w:w="200" w:type="dxa"/>
            <w:vAlign w:val="bottom"/>
          </w:tcPr>
          <w:p>
            <w:pPr>
              <w:jc w:val="right"/>
              <w:spacing w:after="0" w:line="228" w:lineRule="exact"/>
              <w:rPr>
                <w:sz w:val="20"/>
                <w:szCs w:val="20"/>
                <w:color w:val="auto"/>
              </w:rPr>
            </w:pPr>
            <w:r>
              <w:rPr>
                <w:rFonts w:ascii="Times New Roman" w:cs="Times New Roman" w:eastAsia="Times New Roman" w:hAnsi="Times New Roman"/>
                <w:sz w:val="20"/>
                <w:szCs w:val="20"/>
                <w:color w:val="auto"/>
                <w:w w:val="89"/>
              </w:rPr>
              <w:t>12</w:t>
            </w:r>
          </w:p>
        </w:tc>
      </w:tr>
      <w:tr>
        <w:trPr>
          <w:trHeight w:val="230"/>
        </w:trPr>
        <w:tc>
          <w:tcPr>
            <w:tcW w:w="46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3.4</w:t>
            </w:r>
          </w:p>
        </w:tc>
        <w:tc>
          <w:tcPr>
            <w:tcW w:w="9680" w:type="dxa"/>
            <w:vAlign w:val="bottom"/>
            <w:gridSpan w:val="2"/>
          </w:tcPr>
          <w:p>
            <w:pPr>
              <w:jc w:val="right"/>
              <w:spacing w:after="0"/>
              <w:rPr>
                <w:sz w:val="20"/>
                <w:szCs w:val="20"/>
                <w:color w:val="auto"/>
              </w:rPr>
            </w:pPr>
            <w:r>
              <w:rPr>
                <w:rFonts w:ascii="Times New Roman" w:cs="Times New Roman" w:eastAsia="Times New Roman" w:hAnsi="Times New Roman"/>
                <w:sz w:val="20"/>
                <w:szCs w:val="20"/>
                <w:color w:val="auto"/>
              </w:rPr>
              <w:t>Геотехническо поведение на минните отпадъци .............................................................................................................</w:t>
            </w:r>
          </w:p>
        </w:tc>
        <w:tc>
          <w:tcPr>
            <w:tcW w:w="200" w:type="dxa"/>
            <w:vAlign w:val="bottom"/>
          </w:tcPr>
          <w:p>
            <w:pPr>
              <w:jc w:val="right"/>
              <w:spacing w:after="0"/>
              <w:rPr>
                <w:sz w:val="20"/>
                <w:szCs w:val="20"/>
                <w:color w:val="auto"/>
              </w:rPr>
            </w:pPr>
            <w:r>
              <w:rPr>
                <w:rFonts w:ascii="Times New Roman" w:cs="Times New Roman" w:eastAsia="Times New Roman" w:hAnsi="Times New Roman"/>
                <w:sz w:val="20"/>
                <w:szCs w:val="20"/>
                <w:color w:val="auto"/>
                <w:w w:val="89"/>
              </w:rPr>
              <w:t>13</w:t>
            </w:r>
          </w:p>
        </w:tc>
      </w:tr>
      <w:tr>
        <w:trPr>
          <w:trHeight w:val="230"/>
        </w:trPr>
        <w:tc>
          <w:tcPr>
            <w:tcW w:w="46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3.5</w:t>
            </w:r>
          </w:p>
        </w:tc>
        <w:tc>
          <w:tcPr>
            <w:tcW w:w="9680" w:type="dxa"/>
            <w:vAlign w:val="bottom"/>
            <w:gridSpan w:val="2"/>
          </w:tcPr>
          <w:p>
            <w:pPr>
              <w:jc w:val="right"/>
              <w:spacing w:after="0"/>
              <w:rPr>
                <w:sz w:val="20"/>
                <w:szCs w:val="20"/>
                <w:color w:val="auto"/>
              </w:rPr>
            </w:pPr>
            <w:r>
              <w:rPr>
                <w:rFonts w:ascii="Times New Roman" w:cs="Times New Roman" w:eastAsia="Times New Roman" w:hAnsi="Times New Roman"/>
                <w:sz w:val="20"/>
                <w:szCs w:val="20"/>
                <w:color w:val="auto"/>
              </w:rPr>
              <w:t>Геохимични характеристики и поведение на минните отпадъци ..................................................................................</w:t>
            </w:r>
          </w:p>
        </w:tc>
        <w:tc>
          <w:tcPr>
            <w:tcW w:w="200" w:type="dxa"/>
            <w:vAlign w:val="bottom"/>
          </w:tcPr>
          <w:p>
            <w:pPr>
              <w:jc w:val="right"/>
              <w:spacing w:after="0"/>
              <w:rPr>
                <w:sz w:val="20"/>
                <w:szCs w:val="20"/>
                <w:color w:val="auto"/>
              </w:rPr>
            </w:pPr>
            <w:r>
              <w:rPr>
                <w:rFonts w:ascii="Times New Roman" w:cs="Times New Roman" w:eastAsia="Times New Roman" w:hAnsi="Times New Roman"/>
                <w:sz w:val="20"/>
                <w:szCs w:val="20"/>
                <w:color w:val="auto"/>
                <w:w w:val="89"/>
              </w:rPr>
              <w:t>13</w:t>
            </w:r>
          </w:p>
        </w:tc>
      </w:tr>
      <w:tr>
        <w:trPr>
          <w:trHeight w:val="230"/>
        </w:trPr>
        <w:tc>
          <w:tcPr>
            <w:tcW w:w="10140" w:type="dxa"/>
            <w:vAlign w:val="bottom"/>
            <w:gridSpan w:val="3"/>
          </w:tcPr>
          <w:p>
            <w:pPr>
              <w:jc w:val="right"/>
              <w:spacing w:after="0"/>
              <w:rPr>
                <w:sz w:val="20"/>
                <w:szCs w:val="20"/>
                <w:color w:val="auto"/>
              </w:rPr>
            </w:pPr>
            <w:r>
              <w:rPr>
                <w:rFonts w:ascii="Times New Roman" w:cs="Times New Roman" w:eastAsia="Times New Roman" w:hAnsi="Times New Roman"/>
                <w:sz w:val="20"/>
                <w:szCs w:val="20"/>
                <w:color w:val="auto"/>
                <w:w w:val="99"/>
              </w:rPr>
              <w:t>4. ВИД И КАТЕГОРИЯ НА СЪОРЖЕНИЕТО ЗА МИННИ ОТПАДЪЦИ .............................................................................</w:t>
            </w:r>
          </w:p>
        </w:tc>
        <w:tc>
          <w:tcPr>
            <w:tcW w:w="200" w:type="dxa"/>
            <w:vAlign w:val="bottom"/>
          </w:tcPr>
          <w:p>
            <w:pPr>
              <w:jc w:val="right"/>
              <w:spacing w:after="0"/>
              <w:rPr>
                <w:sz w:val="20"/>
                <w:szCs w:val="20"/>
                <w:color w:val="auto"/>
              </w:rPr>
            </w:pPr>
            <w:r>
              <w:rPr>
                <w:rFonts w:ascii="Times New Roman" w:cs="Times New Roman" w:eastAsia="Times New Roman" w:hAnsi="Times New Roman"/>
                <w:sz w:val="20"/>
                <w:szCs w:val="20"/>
                <w:color w:val="auto"/>
                <w:w w:val="89"/>
              </w:rPr>
              <w:t>13</w:t>
            </w:r>
          </w:p>
        </w:tc>
      </w:tr>
      <w:tr>
        <w:trPr>
          <w:trHeight w:val="230"/>
        </w:trPr>
        <w:tc>
          <w:tcPr>
            <w:tcW w:w="46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4.1</w:t>
            </w:r>
          </w:p>
        </w:tc>
        <w:tc>
          <w:tcPr>
            <w:tcW w:w="9680" w:type="dxa"/>
            <w:vAlign w:val="bottom"/>
            <w:gridSpan w:val="2"/>
          </w:tcPr>
          <w:p>
            <w:pPr>
              <w:jc w:val="right"/>
              <w:spacing w:after="0"/>
              <w:rPr>
                <w:sz w:val="20"/>
                <w:szCs w:val="20"/>
                <w:color w:val="auto"/>
              </w:rPr>
            </w:pPr>
            <w:r>
              <w:rPr>
                <w:rFonts w:ascii="Times New Roman" w:cs="Times New Roman" w:eastAsia="Times New Roman" w:hAnsi="Times New Roman"/>
                <w:sz w:val="20"/>
                <w:szCs w:val="20"/>
                <w:color w:val="auto"/>
                <w:w w:val="99"/>
              </w:rPr>
              <w:t>Местоположение на съоръженията за минни отпадъци ..................................................................................................</w:t>
            </w:r>
          </w:p>
        </w:tc>
        <w:tc>
          <w:tcPr>
            <w:tcW w:w="200" w:type="dxa"/>
            <w:vAlign w:val="bottom"/>
          </w:tcPr>
          <w:p>
            <w:pPr>
              <w:jc w:val="right"/>
              <w:spacing w:after="0"/>
              <w:rPr>
                <w:sz w:val="20"/>
                <w:szCs w:val="20"/>
                <w:color w:val="auto"/>
              </w:rPr>
            </w:pPr>
            <w:r>
              <w:rPr>
                <w:rFonts w:ascii="Times New Roman" w:cs="Times New Roman" w:eastAsia="Times New Roman" w:hAnsi="Times New Roman"/>
                <w:sz w:val="20"/>
                <w:szCs w:val="20"/>
                <w:color w:val="auto"/>
                <w:w w:val="89"/>
              </w:rPr>
              <w:t>13</w:t>
            </w:r>
          </w:p>
        </w:tc>
      </w:tr>
      <w:tr>
        <w:trPr>
          <w:trHeight w:val="228"/>
        </w:trPr>
        <w:tc>
          <w:tcPr>
            <w:tcW w:w="10140" w:type="dxa"/>
            <w:vAlign w:val="bottom"/>
            <w:gridSpan w:val="3"/>
          </w:tcPr>
          <w:p>
            <w:pPr>
              <w:jc w:val="right"/>
              <w:spacing w:after="0" w:line="228" w:lineRule="exact"/>
              <w:rPr>
                <w:sz w:val="20"/>
                <w:szCs w:val="20"/>
                <w:color w:val="auto"/>
              </w:rPr>
            </w:pPr>
            <w:r>
              <w:rPr>
                <w:rFonts w:ascii="Times New Roman" w:cs="Times New Roman" w:eastAsia="Times New Roman" w:hAnsi="Times New Roman"/>
                <w:sz w:val="20"/>
                <w:szCs w:val="20"/>
                <w:color w:val="auto"/>
              </w:rPr>
              <w:t>4.2. Състояние на земната повърхност, засегната от СМО ...................................................................................................</w:t>
            </w:r>
          </w:p>
        </w:tc>
        <w:tc>
          <w:tcPr>
            <w:tcW w:w="200" w:type="dxa"/>
            <w:vAlign w:val="bottom"/>
          </w:tcPr>
          <w:p>
            <w:pPr>
              <w:jc w:val="right"/>
              <w:spacing w:after="0" w:line="228" w:lineRule="exact"/>
              <w:rPr>
                <w:sz w:val="20"/>
                <w:szCs w:val="20"/>
                <w:color w:val="auto"/>
              </w:rPr>
            </w:pPr>
            <w:r>
              <w:rPr>
                <w:rFonts w:ascii="Times New Roman" w:cs="Times New Roman" w:eastAsia="Times New Roman" w:hAnsi="Times New Roman"/>
                <w:sz w:val="20"/>
                <w:szCs w:val="20"/>
                <w:color w:val="auto"/>
                <w:w w:val="89"/>
              </w:rPr>
              <w:t>13</w:t>
            </w:r>
          </w:p>
        </w:tc>
      </w:tr>
      <w:tr>
        <w:trPr>
          <w:trHeight w:val="230"/>
        </w:trPr>
        <w:tc>
          <w:tcPr>
            <w:tcW w:w="46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4.3</w:t>
            </w:r>
          </w:p>
        </w:tc>
        <w:tc>
          <w:tcPr>
            <w:tcW w:w="9680" w:type="dxa"/>
            <w:vAlign w:val="bottom"/>
            <w:gridSpan w:val="2"/>
          </w:tcPr>
          <w:p>
            <w:pPr>
              <w:jc w:val="right"/>
              <w:ind w:right="160"/>
              <w:spacing w:after="0"/>
              <w:rPr>
                <w:sz w:val="20"/>
                <w:szCs w:val="20"/>
                <w:color w:val="auto"/>
              </w:rPr>
            </w:pPr>
            <w:r>
              <w:rPr>
                <w:rFonts w:ascii="Times New Roman" w:cs="Times New Roman" w:eastAsia="Times New Roman" w:hAnsi="Times New Roman"/>
                <w:sz w:val="20"/>
                <w:szCs w:val="20"/>
                <w:color w:val="auto"/>
              </w:rPr>
              <w:t>Наличие на подземни и надземни комуникации, водни обекти, санитарно-охранителни зони, сгради и други в</w:t>
            </w:r>
          </w:p>
        </w:tc>
        <w:tc>
          <w:tcPr>
            <w:tcW w:w="200" w:type="dxa"/>
            <w:vAlign w:val="bottom"/>
          </w:tcPr>
          <w:p>
            <w:pPr>
              <w:spacing w:after="0"/>
              <w:rPr>
                <w:sz w:val="20"/>
                <w:szCs w:val="20"/>
                <w:color w:val="auto"/>
              </w:rPr>
            </w:pPr>
          </w:p>
        </w:tc>
      </w:tr>
      <w:tr>
        <w:trPr>
          <w:trHeight w:val="230"/>
        </w:trPr>
        <w:tc>
          <w:tcPr>
            <w:tcW w:w="10140" w:type="dxa"/>
            <w:vAlign w:val="bottom"/>
            <w:gridSpan w:val="3"/>
          </w:tcPr>
          <w:p>
            <w:pPr>
              <w:jc w:val="right"/>
              <w:spacing w:after="0"/>
              <w:rPr>
                <w:sz w:val="20"/>
                <w:szCs w:val="20"/>
                <w:color w:val="auto"/>
              </w:rPr>
            </w:pPr>
            <w:r>
              <w:rPr>
                <w:rFonts w:ascii="Times New Roman" w:cs="Times New Roman" w:eastAsia="Times New Roman" w:hAnsi="Times New Roman"/>
                <w:sz w:val="20"/>
                <w:szCs w:val="20"/>
                <w:color w:val="auto"/>
              </w:rPr>
              <w:t>района на съоръжението за минни отпадъци .........................................................................................................................</w:t>
            </w:r>
          </w:p>
        </w:tc>
        <w:tc>
          <w:tcPr>
            <w:tcW w:w="200" w:type="dxa"/>
            <w:vAlign w:val="bottom"/>
          </w:tcPr>
          <w:p>
            <w:pPr>
              <w:jc w:val="right"/>
              <w:spacing w:after="0"/>
              <w:rPr>
                <w:sz w:val="20"/>
                <w:szCs w:val="20"/>
                <w:color w:val="auto"/>
              </w:rPr>
            </w:pPr>
            <w:r>
              <w:rPr>
                <w:rFonts w:ascii="Times New Roman" w:cs="Times New Roman" w:eastAsia="Times New Roman" w:hAnsi="Times New Roman"/>
                <w:sz w:val="20"/>
                <w:szCs w:val="20"/>
                <w:color w:val="auto"/>
                <w:w w:val="89"/>
              </w:rPr>
              <w:t>15</w:t>
            </w:r>
          </w:p>
        </w:tc>
      </w:tr>
      <w:tr>
        <w:trPr>
          <w:trHeight w:val="230"/>
        </w:trPr>
        <w:tc>
          <w:tcPr>
            <w:tcW w:w="46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4.4</w:t>
            </w:r>
          </w:p>
        </w:tc>
        <w:tc>
          <w:tcPr>
            <w:tcW w:w="9680" w:type="dxa"/>
            <w:vAlign w:val="bottom"/>
            <w:gridSpan w:val="2"/>
          </w:tcPr>
          <w:p>
            <w:pPr>
              <w:jc w:val="right"/>
              <w:spacing w:after="0"/>
              <w:rPr>
                <w:sz w:val="20"/>
                <w:szCs w:val="20"/>
                <w:color w:val="auto"/>
              </w:rPr>
            </w:pPr>
            <w:r>
              <w:rPr>
                <w:rFonts w:ascii="Times New Roman" w:cs="Times New Roman" w:eastAsia="Times New Roman" w:hAnsi="Times New Roman"/>
                <w:sz w:val="20"/>
                <w:szCs w:val="20"/>
                <w:color w:val="auto"/>
              </w:rPr>
              <w:t>Защитени територии и защитени зони ..............................................................................................................................</w:t>
            </w:r>
          </w:p>
        </w:tc>
        <w:tc>
          <w:tcPr>
            <w:tcW w:w="200" w:type="dxa"/>
            <w:vAlign w:val="bottom"/>
          </w:tcPr>
          <w:p>
            <w:pPr>
              <w:jc w:val="right"/>
              <w:spacing w:after="0"/>
              <w:rPr>
                <w:sz w:val="20"/>
                <w:szCs w:val="20"/>
                <w:color w:val="auto"/>
              </w:rPr>
            </w:pPr>
            <w:r>
              <w:rPr>
                <w:rFonts w:ascii="Times New Roman" w:cs="Times New Roman" w:eastAsia="Times New Roman" w:hAnsi="Times New Roman"/>
                <w:sz w:val="20"/>
                <w:szCs w:val="20"/>
                <w:color w:val="auto"/>
                <w:w w:val="89"/>
              </w:rPr>
              <w:t>15</w:t>
            </w:r>
          </w:p>
        </w:tc>
      </w:tr>
      <w:tr>
        <w:trPr>
          <w:trHeight w:val="230"/>
        </w:trPr>
        <w:tc>
          <w:tcPr>
            <w:tcW w:w="46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4.5</w:t>
            </w:r>
          </w:p>
        </w:tc>
        <w:tc>
          <w:tcPr>
            <w:tcW w:w="9680" w:type="dxa"/>
            <w:vAlign w:val="bottom"/>
            <w:gridSpan w:val="2"/>
          </w:tcPr>
          <w:p>
            <w:pPr>
              <w:jc w:val="right"/>
              <w:spacing w:after="0"/>
              <w:rPr>
                <w:sz w:val="20"/>
                <w:szCs w:val="20"/>
                <w:color w:val="auto"/>
              </w:rPr>
            </w:pPr>
            <w:r>
              <w:rPr>
                <w:rFonts w:ascii="Times New Roman" w:cs="Times New Roman" w:eastAsia="Times New Roman" w:hAnsi="Times New Roman"/>
                <w:sz w:val="20"/>
                <w:szCs w:val="20"/>
                <w:color w:val="auto"/>
              </w:rPr>
              <w:t>Вид и категория на съоръжението за минни отпадъци ...................................................................................................</w:t>
            </w:r>
          </w:p>
        </w:tc>
        <w:tc>
          <w:tcPr>
            <w:tcW w:w="200" w:type="dxa"/>
            <w:vAlign w:val="bottom"/>
          </w:tcPr>
          <w:p>
            <w:pPr>
              <w:jc w:val="right"/>
              <w:spacing w:after="0"/>
              <w:rPr>
                <w:sz w:val="20"/>
                <w:szCs w:val="20"/>
                <w:color w:val="auto"/>
              </w:rPr>
            </w:pPr>
            <w:r>
              <w:rPr>
                <w:rFonts w:ascii="Times New Roman" w:cs="Times New Roman" w:eastAsia="Times New Roman" w:hAnsi="Times New Roman"/>
                <w:sz w:val="20"/>
                <w:szCs w:val="20"/>
                <w:color w:val="auto"/>
                <w:w w:val="89"/>
              </w:rPr>
              <w:t>15</w:t>
            </w:r>
          </w:p>
        </w:tc>
      </w:tr>
    </w:tbl>
    <w:p>
      <w:pPr>
        <w:ind w:left="209" w:hanging="209"/>
        <w:spacing w:after="0"/>
        <w:tabs>
          <w:tab w:leader="none" w:pos="209" w:val="left"/>
        </w:tabs>
        <w:numPr>
          <w:ilvl w:val="0"/>
          <w:numId w:val="1"/>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РИСКОВЕ ЗА ОКОЛНАТА СРЕДА И ЗА БЕЗОПАСНОСТТА И ЗДРАВЕТО НА ЧОВЕКА И МЕРКИ ЗА</w:t>
      </w:r>
    </w:p>
    <w:p>
      <w:pPr>
        <w:ind w:left="9"/>
        <w:spacing w:after="0" w:line="238" w:lineRule="auto"/>
        <w:tabs>
          <w:tab w:leader="dot" w:pos="10128" w:val="left"/>
        </w:tabs>
        <w:rPr>
          <w:sz w:val="20"/>
          <w:szCs w:val="20"/>
          <w:color w:val="auto"/>
        </w:rPr>
      </w:pPr>
      <w:r>
        <w:rPr>
          <w:rFonts w:ascii="Times New Roman" w:cs="Times New Roman" w:eastAsia="Times New Roman" w:hAnsi="Times New Roman"/>
          <w:sz w:val="20"/>
          <w:szCs w:val="20"/>
          <w:color w:val="auto"/>
        </w:rPr>
        <w:t>ПРЕДОТВРАТЯВАНЕТО ИМ</w:t>
      </w:r>
      <w:r>
        <w:rPr>
          <w:sz w:val="20"/>
          <w:szCs w:val="20"/>
          <w:color w:val="auto"/>
        </w:rPr>
        <w:tab/>
      </w:r>
      <w:r>
        <w:rPr>
          <w:rFonts w:ascii="Times New Roman" w:cs="Times New Roman" w:eastAsia="Times New Roman" w:hAnsi="Times New Roman"/>
          <w:sz w:val="20"/>
          <w:szCs w:val="20"/>
          <w:color w:val="auto"/>
        </w:rPr>
        <w:t>16</w:t>
      </w:r>
    </w:p>
    <w:p>
      <w:pPr>
        <w:ind w:left="209"/>
        <w:spacing w:after="0"/>
        <w:tabs>
          <w:tab w:leader="dot" w:pos="10128" w:val="left"/>
        </w:tabs>
        <w:rPr>
          <w:sz w:val="20"/>
          <w:szCs w:val="20"/>
          <w:color w:val="auto"/>
        </w:rPr>
      </w:pPr>
      <w:r>
        <w:rPr>
          <w:rFonts w:ascii="Times New Roman" w:cs="Times New Roman" w:eastAsia="Times New Roman" w:hAnsi="Times New Roman"/>
          <w:sz w:val="20"/>
          <w:szCs w:val="20"/>
          <w:color w:val="auto"/>
        </w:rPr>
        <w:t>5.1 Местоположение на СМО</w:t>
      </w:r>
      <w:r>
        <w:rPr>
          <w:sz w:val="20"/>
          <w:szCs w:val="20"/>
          <w:color w:val="auto"/>
        </w:rPr>
        <w:tab/>
      </w:r>
      <w:r>
        <w:rPr>
          <w:rFonts w:ascii="Times New Roman" w:cs="Times New Roman" w:eastAsia="Times New Roman" w:hAnsi="Times New Roman"/>
          <w:sz w:val="20"/>
          <w:szCs w:val="20"/>
          <w:color w:val="auto"/>
        </w:rPr>
        <w:t>16</w:t>
      </w:r>
    </w:p>
    <w:p>
      <w:pPr>
        <w:ind w:left="209"/>
        <w:spacing w:after="0"/>
        <w:tabs>
          <w:tab w:leader="dot" w:pos="10128" w:val="left"/>
        </w:tabs>
        <w:rPr>
          <w:sz w:val="20"/>
          <w:szCs w:val="20"/>
          <w:color w:val="auto"/>
        </w:rPr>
      </w:pPr>
      <w:r>
        <w:rPr>
          <w:rFonts w:ascii="Times New Roman" w:cs="Times New Roman" w:eastAsia="Times New Roman" w:hAnsi="Times New Roman"/>
          <w:sz w:val="20"/>
          <w:szCs w:val="20"/>
          <w:color w:val="auto"/>
        </w:rPr>
        <w:t>5.2. Физическа стабилност на СМО</w:t>
      </w:r>
      <w:r>
        <w:rPr>
          <w:sz w:val="20"/>
          <w:szCs w:val="20"/>
          <w:color w:val="auto"/>
        </w:rPr>
        <w:tab/>
      </w:r>
      <w:r>
        <w:rPr>
          <w:rFonts w:ascii="Times New Roman" w:cs="Times New Roman" w:eastAsia="Times New Roman" w:hAnsi="Times New Roman"/>
          <w:sz w:val="20"/>
          <w:szCs w:val="20"/>
          <w:color w:val="auto"/>
        </w:rPr>
        <w:t>16</w:t>
      </w:r>
    </w:p>
    <w:p>
      <w:pPr>
        <w:ind w:left="209"/>
        <w:spacing w:after="0"/>
        <w:tabs>
          <w:tab w:leader="dot" w:pos="10128" w:val="left"/>
        </w:tabs>
        <w:rPr>
          <w:sz w:val="20"/>
          <w:szCs w:val="20"/>
          <w:color w:val="auto"/>
        </w:rPr>
      </w:pPr>
      <w:r>
        <w:rPr>
          <w:rFonts w:ascii="Times New Roman" w:cs="Times New Roman" w:eastAsia="Times New Roman" w:hAnsi="Times New Roman"/>
          <w:sz w:val="20"/>
          <w:szCs w:val="20"/>
          <w:color w:val="auto"/>
        </w:rPr>
        <w:t>5.3. Опазване на почвата, въздуха и водите от замърсяване</w:t>
      </w:r>
      <w:r>
        <w:rPr>
          <w:sz w:val="20"/>
          <w:szCs w:val="20"/>
          <w:color w:val="auto"/>
        </w:rPr>
        <w:tab/>
      </w:r>
      <w:r>
        <w:rPr>
          <w:rFonts w:ascii="Times New Roman" w:cs="Times New Roman" w:eastAsia="Times New Roman" w:hAnsi="Times New Roman"/>
          <w:sz w:val="20"/>
          <w:szCs w:val="20"/>
          <w:color w:val="auto"/>
        </w:rPr>
        <w:t>16</w:t>
      </w:r>
    </w:p>
    <w:p>
      <w:pPr>
        <w:ind w:left="409"/>
        <w:spacing w:after="0"/>
        <w:tabs>
          <w:tab w:leader="dot" w:pos="10128" w:val="left"/>
        </w:tabs>
        <w:rPr>
          <w:sz w:val="20"/>
          <w:szCs w:val="20"/>
          <w:color w:val="auto"/>
        </w:rPr>
      </w:pPr>
      <w:r>
        <w:rPr>
          <w:rFonts w:ascii="Times New Roman" w:cs="Times New Roman" w:eastAsia="Times New Roman" w:hAnsi="Times New Roman"/>
          <w:sz w:val="20"/>
          <w:szCs w:val="20"/>
          <w:color w:val="auto"/>
        </w:rPr>
        <w:t>5.3.1 Почви</w:t>
      </w:r>
      <w:r>
        <w:rPr>
          <w:sz w:val="20"/>
          <w:szCs w:val="20"/>
          <w:color w:val="auto"/>
        </w:rPr>
        <w:tab/>
      </w:r>
      <w:r>
        <w:rPr>
          <w:rFonts w:ascii="Times New Roman" w:cs="Times New Roman" w:eastAsia="Times New Roman" w:hAnsi="Times New Roman"/>
          <w:sz w:val="20"/>
          <w:szCs w:val="20"/>
          <w:color w:val="auto"/>
        </w:rPr>
        <w:t>16</w:t>
      </w:r>
    </w:p>
    <w:p>
      <w:pPr>
        <w:ind w:left="409"/>
        <w:spacing w:after="0"/>
        <w:tabs>
          <w:tab w:leader="dot" w:pos="10128" w:val="left"/>
        </w:tabs>
        <w:rPr>
          <w:sz w:val="20"/>
          <w:szCs w:val="20"/>
          <w:color w:val="auto"/>
        </w:rPr>
      </w:pPr>
      <w:r>
        <w:rPr>
          <w:rFonts w:ascii="Times New Roman" w:cs="Times New Roman" w:eastAsia="Times New Roman" w:hAnsi="Times New Roman"/>
          <w:sz w:val="20"/>
          <w:szCs w:val="20"/>
          <w:color w:val="auto"/>
        </w:rPr>
        <w:t>5.3.2. Въздух</w:t>
      </w:r>
      <w:r>
        <w:rPr>
          <w:sz w:val="20"/>
          <w:szCs w:val="20"/>
          <w:color w:val="auto"/>
        </w:rPr>
        <w:tab/>
      </w:r>
      <w:r>
        <w:rPr>
          <w:rFonts w:ascii="Times New Roman" w:cs="Times New Roman" w:eastAsia="Times New Roman" w:hAnsi="Times New Roman"/>
          <w:sz w:val="20"/>
          <w:szCs w:val="20"/>
          <w:color w:val="auto"/>
        </w:rPr>
        <w:t>17</w:t>
      </w:r>
    </w:p>
    <w:p>
      <w:pPr>
        <w:ind w:left="409"/>
        <w:spacing w:after="0" w:line="238" w:lineRule="auto"/>
        <w:tabs>
          <w:tab w:leader="dot" w:pos="10128" w:val="left"/>
        </w:tabs>
        <w:rPr>
          <w:sz w:val="20"/>
          <w:szCs w:val="20"/>
          <w:color w:val="auto"/>
        </w:rPr>
      </w:pPr>
      <w:r>
        <w:rPr>
          <w:rFonts w:ascii="Times New Roman" w:cs="Times New Roman" w:eastAsia="Times New Roman" w:hAnsi="Times New Roman"/>
          <w:sz w:val="20"/>
          <w:szCs w:val="20"/>
          <w:color w:val="auto"/>
        </w:rPr>
        <w:t>5.3.3 Води</w:t>
      </w:r>
      <w:r>
        <w:rPr>
          <w:sz w:val="20"/>
          <w:szCs w:val="20"/>
          <w:color w:val="auto"/>
        </w:rPr>
        <w:tab/>
      </w:r>
      <w:r>
        <w:rPr>
          <w:rFonts w:ascii="Times New Roman" w:cs="Times New Roman" w:eastAsia="Times New Roman" w:hAnsi="Times New Roman"/>
          <w:sz w:val="20"/>
          <w:szCs w:val="20"/>
          <w:color w:val="auto"/>
        </w:rPr>
        <w:t>17</w:t>
      </w:r>
    </w:p>
    <w:p>
      <w:pPr>
        <w:ind w:left="409"/>
        <w:spacing w:after="0"/>
        <w:tabs>
          <w:tab w:leader="dot" w:pos="10128" w:val="left"/>
        </w:tabs>
        <w:rPr>
          <w:sz w:val="20"/>
          <w:szCs w:val="20"/>
          <w:color w:val="auto"/>
        </w:rPr>
      </w:pPr>
      <w:r>
        <w:rPr>
          <w:rFonts w:ascii="Times New Roman" w:cs="Times New Roman" w:eastAsia="Times New Roman" w:hAnsi="Times New Roman"/>
          <w:sz w:val="20"/>
          <w:szCs w:val="20"/>
          <w:color w:val="auto"/>
        </w:rPr>
        <w:t>5.3.4. Ландшафт</w:t>
      </w:r>
      <w:r>
        <w:rPr>
          <w:sz w:val="20"/>
          <w:szCs w:val="20"/>
          <w:color w:val="auto"/>
        </w:rPr>
        <w:tab/>
      </w:r>
      <w:r>
        <w:rPr>
          <w:rFonts w:ascii="Times New Roman" w:cs="Times New Roman" w:eastAsia="Times New Roman" w:hAnsi="Times New Roman"/>
          <w:sz w:val="20"/>
          <w:szCs w:val="20"/>
          <w:color w:val="auto"/>
        </w:rPr>
        <w:t>18</w:t>
      </w:r>
    </w:p>
    <w:p>
      <w:pPr>
        <w:ind w:left="9"/>
        <w:spacing w:after="0"/>
        <w:tabs>
          <w:tab w:leader="dot" w:pos="10128" w:val="left"/>
        </w:tabs>
        <w:rPr>
          <w:sz w:val="20"/>
          <w:szCs w:val="20"/>
          <w:color w:val="auto"/>
        </w:rPr>
      </w:pPr>
      <w:r>
        <w:rPr>
          <w:rFonts w:ascii="Times New Roman" w:cs="Times New Roman" w:eastAsia="Times New Roman" w:hAnsi="Times New Roman"/>
          <w:sz w:val="20"/>
          <w:szCs w:val="20"/>
          <w:color w:val="auto"/>
        </w:rPr>
        <w:t>6. ПЛАНИРАНЕ НА МЕРКИ ЗА НЕДОПУСКАНЕ НА АВАРИИ И ПРЕДОТВРАТЯВАНЕ НА РИСКОВЕТЕ</w:t>
      </w:r>
      <w:r>
        <w:rPr>
          <w:sz w:val="20"/>
          <w:szCs w:val="20"/>
          <w:color w:val="auto"/>
        </w:rPr>
        <w:tab/>
      </w:r>
      <w:r>
        <w:rPr>
          <w:rFonts w:ascii="Times New Roman" w:cs="Times New Roman" w:eastAsia="Times New Roman" w:hAnsi="Times New Roman"/>
          <w:sz w:val="20"/>
          <w:szCs w:val="20"/>
          <w:color w:val="auto"/>
        </w:rPr>
        <w:t>18</w:t>
      </w:r>
    </w:p>
    <w:p>
      <w:pPr>
        <w:ind w:left="9"/>
        <w:spacing w:after="0"/>
        <w:tabs>
          <w:tab w:leader="dot" w:pos="10128" w:val="left"/>
        </w:tabs>
        <w:rPr>
          <w:sz w:val="20"/>
          <w:szCs w:val="20"/>
          <w:color w:val="auto"/>
        </w:rPr>
      </w:pPr>
      <w:r>
        <w:rPr>
          <w:rFonts w:ascii="Times New Roman" w:cs="Times New Roman" w:eastAsia="Times New Roman" w:hAnsi="Times New Roman"/>
          <w:sz w:val="20"/>
          <w:szCs w:val="20"/>
          <w:color w:val="auto"/>
        </w:rPr>
        <w:t>7. КОНТРОЛНИ И МОНИТОРИНГОВИ ПРОЦЕДУРИ</w:t>
      </w:r>
      <w:r>
        <w:rPr>
          <w:sz w:val="20"/>
          <w:szCs w:val="20"/>
          <w:color w:val="auto"/>
        </w:rPr>
        <w:tab/>
      </w:r>
      <w:r>
        <w:rPr>
          <w:rFonts w:ascii="Times New Roman" w:cs="Times New Roman" w:eastAsia="Times New Roman" w:hAnsi="Times New Roman"/>
          <w:sz w:val="20"/>
          <w:szCs w:val="20"/>
          <w:color w:val="auto"/>
        </w:rPr>
        <w:t>19</w:t>
      </w:r>
    </w:p>
    <w:p>
      <w:pPr>
        <w:ind w:left="9"/>
        <w:spacing w:after="0"/>
        <w:tabs>
          <w:tab w:leader="dot" w:pos="10128" w:val="left"/>
        </w:tabs>
        <w:rPr>
          <w:sz w:val="20"/>
          <w:szCs w:val="20"/>
          <w:color w:val="auto"/>
        </w:rPr>
      </w:pPr>
      <w:r>
        <w:rPr>
          <w:rFonts w:ascii="Times New Roman" w:cs="Times New Roman" w:eastAsia="Times New Roman" w:hAnsi="Times New Roman"/>
          <w:sz w:val="20"/>
          <w:szCs w:val="20"/>
          <w:color w:val="auto"/>
        </w:rPr>
        <w:t>8. ЗАКРИВАНЕ И РЕКУЛТИВАЦИЯ НА СЪОРЪЖЕНИЕТО ЗА МИННИ ОТПАДЪЦИ</w:t>
      </w:r>
      <w:r>
        <w:rPr>
          <w:sz w:val="20"/>
          <w:szCs w:val="20"/>
          <w:color w:val="auto"/>
        </w:rPr>
        <w:tab/>
      </w:r>
      <w:r>
        <w:rPr>
          <w:rFonts w:ascii="Times New Roman" w:cs="Times New Roman" w:eastAsia="Times New Roman" w:hAnsi="Times New Roman"/>
          <w:sz w:val="20"/>
          <w:szCs w:val="20"/>
          <w:color w:val="auto"/>
        </w:rPr>
        <w:t>19</w:t>
      </w:r>
    </w:p>
    <w:p>
      <w:pPr>
        <w:ind w:left="209" w:hanging="209"/>
        <w:spacing w:after="0"/>
        <w:tabs>
          <w:tab w:leader="none" w:pos="209" w:val="left"/>
        </w:tabs>
        <w:numPr>
          <w:ilvl w:val="0"/>
          <w:numId w:val="2"/>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ДОКУМЕНТИ, ДОКАЗВАЩИ КВАЛИФИКАЦИЯТА, ТЕХНИЧЕСКИТЕ УМЕНИЯ И СПОСОБНОСТТА НА</w:t>
      </w:r>
    </w:p>
    <w:p>
      <w:pPr>
        <w:ind w:left="9"/>
        <w:spacing w:after="0"/>
        <w:tabs>
          <w:tab w:leader="dot" w:pos="10128" w:val="left"/>
        </w:tabs>
        <w:rPr>
          <w:sz w:val="20"/>
          <w:szCs w:val="20"/>
          <w:color w:val="auto"/>
        </w:rPr>
      </w:pPr>
      <w:r>
        <w:rPr>
          <w:rFonts w:ascii="Times New Roman" w:cs="Times New Roman" w:eastAsia="Times New Roman" w:hAnsi="Times New Roman"/>
          <w:sz w:val="20"/>
          <w:szCs w:val="20"/>
          <w:color w:val="auto"/>
        </w:rPr>
        <w:t>ОПЕРАТОРА ДА ПОСТИГНЕ ЦЕЛИТЕ НА ПЛАНА ЗА УПРАВЛЕНИЕ НА МИННИТЕ ОТПАДЪЦИ</w:t>
      </w:r>
      <w:r>
        <w:rPr>
          <w:sz w:val="20"/>
          <w:szCs w:val="20"/>
          <w:color w:val="auto"/>
        </w:rPr>
        <w:tab/>
      </w:r>
      <w:r>
        <w:rPr>
          <w:rFonts w:ascii="Times New Roman" w:cs="Times New Roman" w:eastAsia="Times New Roman" w:hAnsi="Times New Roman"/>
          <w:sz w:val="20"/>
          <w:szCs w:val="20"/>
          <w:color w:val="auto"/>
        </w:rPr>
        <w:t>20</w:t>
      </w:r>
    </w:p>
    <w:p>
      <w:pPr>
        <w:spacing w:after="0" w:line="200" w:lineRule="exact"/>
        <w:rPr>
          <w:sz w:val="20"/>
          <w:szCs w:val="20"/>
          <w:color w:val="auto"/>
        </w:rPr>
      </w:pPr>
    </w:p>
    <w:p>
      <w:pPr>
        <w:spacing w:after="0" w:line="328" w:lineRule="exact"/>
        <w:rPr>
          <w:sz w:val="20"/>
          <w:szCs w:val="20"/>
          <w:color w:val="auto"/>
        </w:rPr>
      </w:pPr>
    </w:p>
    <w:p>
      <w:pPr>
        <w:ind w:left="9"/>
        <w:spacing w:after="0"/>
        <w:tabs>
          <w:tab w:leader="none" w:pos="1868" w:val="left"/>
        </w:tabs>
        <w:rPr>
          <w:sz w:val="20"/>
          <w:szCs w:val="20"/>
          <w:color w:val="auto"/>
        </w:rPr>
      </w:pPr>
      <w:r>
        <w:rPr>
          <w:rFonts w:ascii="Times New Roman" w:cs="Times New Roman" w:eastAsia="Times New Roman" w:hAnsi="Times New Roman"/>
          <w:sz w:val="24"/>
          <w:szCs w:val="24"/>
          <w:b w:val="1"/>
          <w:bCs w:val="1"/>
          <w:color w:val="auto"/>
        </w:rPr>
        <w:t>Приложение 1</w:t>
      </w:r>
      <w:r>
        <w:rPr>
          <w:sz w:val="20"/>
          <w:szCs w:val="20"/>
          <w:color w:val="auto"/>
        </w:rPr>
        <w:tab/>
      </w:r>
      <w:r>
        <w:rPr>
          <w:rFonts w:ascii="Times New Roman" w:cs="Times New Roman" w:eastAsia="Times New Roman" w:hAnsi="Times New Roman"/>
          <w:sz w:val="20"/>
          <w:szCs w:val="20"/>
          <w:color w:val="auto"/>
        </w:rPr>
        <w:t>Топографска  карта  на  концесионна  площ  „Глория”  с  разположение  на  логистичните</w:t>
      </w:r>
    </w:p>
    <w:p>
      <w:pPr>
        <w:ind w:left="1889"/>
        <w:spacing w:after="0"/>
        <w:rPr>
          <w:sz w:val="20"/>
          <w:szCs w:val="20"/>
          <w:color w:val="auto"/>
        </w:rPr>
      </w:pPr>
      <w:r>
        <w:rPr>
          <w:rFonts w:ascii="Times New Roman" w:cs="Times New Roman" w:eastAsia="Times New Roman" w:hAnsi="Times New Roman"/>
          <w:sz w:val="20"/>
          <w:szCs w:val="20"/>
          <w:color w:val="auto"/>
        </w:rPr>
        <w:t>елементи, необходими за добива от находище „Глория” в М 1:6000</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7" w:lineRule="exact"/>
        <w:rPr>
          <w:sz w:val="20"/>
          <w:szCs w:val="20"/>
          <w:color w:val="auto"/>
        </w:rPr>
      </w:pPr>
    </w:p>
    <w:p>
      <w:pPr>
        <w:ind w:left="10209"/>
        <w:spacing w:after="0"/>
        <w:rPr>
          <w:sz w:val="20"/>
          <w:szCs w:val="20"/>
          <w:color w:val="auto"/>
        </w:rPr>
      </w:pPr>
      <w:r>
        <w:rPr>
          <w:rFonts w:ascii="Times New Roman" w:cs="Times New Roman" w:eastAsia="Times New Roman" w:hAnsi="Times New Roman"/>
          <w:sz w:val="20"/>
          <w:szCs w:val="20"/>
          <w:color w:val="auto"/>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-60325</wp:posOffset>
            </wp:positionV>
            <wp:extent cx="6438900" cy="285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extLst>
                    </a:blip>
                    <a:srcRect/>
                    <a:stretch>
                      <a:fillRect/>
                    </a:stretch>
                  </pic:blipFill>
                  <pic:spPr bwMode="auto">
                    <a:xfrm>
                      <a:off x="0" y="0"/>
                      <a:ext cx="6438900" cy="28575"/>
                    </a:xfrm>
                    <a:prstGeom prst="rect">
                      <a:avLst/>
                    </a:prstGeom>
                    <a:noFill/>
                  </pic:spPr>
                </pic:pic>
              </a:graphicData>
            </a:graphic>
          </wp:anchor>
        </w:drawing>
      </w:r>
    </w:p>
    <w:p>
      <w:pPr>
        <w:sectPr>
          <w:pgSz w:w="11920" w:h="16850" w:orient="portrait"/>
          <w:cols w:equalWidth="0" w:num="1">
            <w:col w:w="10349"/>
          </w:cols>
          <w:pgMar w:left="991" w:top="376" w:right="571" w:bottom="0" w:gutter="0" w:footer="0" w:header="0"/>
        </w:sectPr>
      </w:pPr>
    </w:p>
    <w:p>
      <w:pPr>
        <w:spacing w:after="0" w:line="2" w:lineRule="exact"/>
        <w:rPr>
          <w:sz w:val="20"/>
          <w:szCs w:val="20"/>
          <w:color w:val="auto"/>
        </w:rPr>
      </w:pPr>
    </w:p>
    <w:p>
      <w:pPr>
        <w:jc w:val="center"/>
        <w:ind w:right="6691"/>
        <w:spacing w:after="0"/>
        <w:rPr>
          <w:sz w:val="20"/>
          <w:szCs w:val="20"/>
          <w:color w:val="auto"/>
        </w:rPr>
      </w:pPr>
      <w:r>
        <w:rPr>
          <w:rFonts w:ascii="Times New Roman" w:cs="Times New Roman" w:eastAsia="Times New Roman" w:hAnsi="Times New Roman"/>
          <w:sz w:val="15"/>
          <w:szCs w:val="15"/>
          <w:b w:val="1"/>
          <w:bCs w:val="1"/>
          <w:color w:val="999999"/>
        </w:rPr>
        <w:t>Титуляр: „БН-КОНСУЛТ-ИНЖЕНИРИНГ” ООД</w:t>
      </w:r>
    </w:p>
    <w:p>
      <w:pPr>
        <w:spacing w:after="0" w:line="12" w:lineRule="exact"/>
        <w:rPr>
          <w:sz w:val="20"/>
          <w:szCs w:val="20"/>
          <w:color w:val="auto"/>
        </w:rPr>
      </w:pPr>
    </w:p>
    <w:p>
      <w:pPr>
        <w:jc w:val="center"/>
        <w:ind w:right="6811"/>
        <w:spacing w:after="0"/>
        <w:rPr>
          <w:sz w:val="20"/>
          <w:szCs w:val="20"/>
          <w:color w:val="auto"/>
        </w:rPr>
      </w:pPr>
      <w:r>
        <w:rPr>
          <w:rFonts w:ascii="Times New Roman" w:cs="Times New Roman" w:eastAsia="Times New Roman" w:hAnsi="Times New Roman"/>
          <w:sz w:val="16"/>
          <w:szCs w:val="16"/>
          <w:b w:val="1"/>
          <w:bCs w:val="1"/>
          <w:color w:val="999999"/>
        </w:rPr>
        <w:t>гр. София</w:t>
      </w:r>
    </w:p>
    <w:p>
      <w:pPr>
        <w:sectPr>
          <w:pgSz w:w="11920" w:h="16850" w:orient="portrait"/>
          <w:cols w:equalWidth="0" w:num="1">
            <w:col w:w="10349"/>
          </w:cols>
          <w:pgMar w:left="991" w:top="376" w:right="571" w:bottom="0" w:gutter="0" w:footer="0" w:header="0"/>
          <w:type w:val="continuous"/>
        </w:sectPr>
      </w:pPr>
    </w:p>
    <w:p>
      <w:pPr>
        <w:jc w:val="both"/>
        <w:ind w:left="9"/>
        <w:spacing w:after="0" w:line="255" w:lineRule="auto"/>
        <w:rPr>
          <w:sz w:val="20"/>
          <w:szCs w:val="20"/>
          <w:color w:val="auto"/>
        </w:rPr>
      </w:pPr>
      <w:r>
        <w:rPr>
          <w:rFonts w:ascii="Times New Roman" w:cs="Times New Roman" w:eastAsia="Times New Roman" w:hAnsi="Times New Roman"/>
          <w:sz w:val="20"/>
          <w:szCs w:val="20"/>
          <w:b w:val="1"/>
          <w:bCs w:val="1"/>
          <w:color w:val="auto"/>
        </w:rPr>
        <w:t xml:space="preserve">ПРЕДЛОЖЕНИЕ ЗА УПРАВЛЕНИЕ НА МИННИТЕ ОТПАДЪЦИ при осъществяване на инвестиционно предложение: „Добив на подземни богатства – индустриални минерали - глауконитови пясъчници от находище </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b w:val="1"/>
          <w:bCs w:val="1"/>
          <w:color w:val="auto"/>
        </w:rPr>
        <w:t>ГЛОРИЯ</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b w:val="1"/>
          <w:bCs w:val="1"/>
          <w:color w:val="auto"/>
        </w:rPr>
        <w:t>,</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разположено в землищата на с.</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Мало Пещене и с.</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Голямо Пещене,</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община Враца,</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област Враца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-6985</wp:posOffset>
                </wp:positionH>
                <wp:positionV relativeFrom="paragraph">
                  <wp:posOffset>15875</wp:posOffset>
                </wp:positionV>
                <wp:extent cx="6552565" cy="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52565" cy="4763"/>
                        </a:xfrm>
                        <a:prstGeom prst="line">
                          <a:avLst/>
                        </a:prstGeom>
                        <a:solidFill>
                          <a:srgbClr val="FFFFFF"/>
                        </a:solidFill>
                        <a:ln w="9525">
                          <a:solidFill>
                            <a:srgbClr val="969696"/>
                          </a:solidFill>
                          <a:miter lim="800000"/>
                          <a:headEnd/>
                          <a:tailEnd/>
                        </a:ln>
                      </wps:spPr>
                      <wps:bodyPr/>
                    </wps:wsp>
                  </a:graphicData>
                </a:graphic>
              </wp:anchor>
            </w:drawing>
          </mc:Choice>
          <mc:Fallback>
            <w:pict>
              <v:line id="Shape 4" o:spid="_x0000_s102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499pt,1.25pt" to="515.4pt,1.25pt" o:allowincell="f" strokecolor="#969696" strokeweight="0.75pt"/>
            </w:pict>
          </mc:Fallback>
        </mc:AlternateContent>
        <mc:AlternateContent>
          <mc:Choice Requires="wps">
            <w:drawing>
              <wp:anchor simplePos="0" relativeHeight="251657728" behindDoc="1" locked="0" layoutInCell="0" allowOverlap="1">
                <wp:simplePos x="0" y="0"/>
                <wp:positionH relativeFrom="column">
                  <wp:posOffset>-74295</wp:posOffset>
                </wp:positionH>
                <wp:positionV relativeFrom="paragraph">
                  <wp:posOffset>130175</wp:posOffset>
                </wp:positionV>
                <wp:extent cx="6721475" cy="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72147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 o:spid="_x0000_s10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8499pt,10.25pt" to="523.4pt,10.2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-74295</wp:posOffset>
                </wp:positionH>
                <wp:positionV relativeFrom="paragraph">
                  <wp:posOffset>337820</wp:posOffset>
                </wp:positionV>
                <wp:extent cx="6721475" cy="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72147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 o:spid="_x0000_s103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8499pt,26.6pt" to="523.4pt,26.6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-71120</wp:posOffset>
                </wp:positionH>
                <wp:positionV relativeFrom="paragraph">
                  <wp:posOffset>127000</wp:posOffset>
                </wp:positionV>
                <wp:extent cx="0" cy="21336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13360"/>
                        </a:xfrm>
                        <a:prstGeom prst="line">
                          <a:avLst/>
                        </a:prstGeom>
                        <a:solidFill>
                          <a:srgbClr val="FFFFFF"/>
                        </a:solidFill>
                        <a:ln w="6108">
                          <a:solidFill>
                            <a:srgbClr val="000000"/>
                          </a:solidFill>
                          <a:miter lim="800000"/>
                          <a:headEnd/>
                          <a:tailEnd/>
                        </a:ln>
                      </wps:spPr>
                      <wps:bodyPr/>
                    </wps:wsp>
                  </a:graphicData>
                </a:graphic>
              </wp:anchor>
            </w:drawing>
          </mc:Choice>
          <mc:Fallback>
            <w:pict>
              <v:line id="Shape 7" o:spid="_x0000_s10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10pt" to="-5.5999pt,26.8pt" o:allowincell="f" strokecolor="#000000" strokeweight="0.4809pt"/>
            </w:pict>
          </mc:Fallback>
        </mc:AlternateContent>
        <mc:AlternateContent>
          <mc:Choice Requires="wps">
            <w:drawing>
              <wp:anchor simplePos="0" relativeHeight="251657728" behindDoc="1" locked="0" layoutInCell="0" allowOverlap="1">
                <wp:simplePos x="0" y="0"/>
                <wp:positionH relativeFrom="column">
                  <wp:posOffset>6644640</wp:posOffset>
                </wp:positionH>
                <wp:positionV relativeFrom="paragraph">
                  <wp:posOffset>127000</wp:posOffset>
                </wp:positionV>
                <wp:extent cx="0" cy="21336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13360"/>
                        </a:xfrm>
                        <a:prstGeom prst="line">
                          <a:avLst/>
                        </a:prstGeom>
                        <a:solidFill>
                          <a:srgbClr val="FFFFFF"/>
                        </a:solidFill>
                        <a:ln w="6108">
                          <a:solidFill>
                            <a:srgbClr val="000000"/>
                          </a:solidFill>
                          <a:miter lim="800000"/>
                          <a:headEnd/>
                          <a:tailEnd/>
                        </a:ln>
                      </wps:spPr>
                      <wps:bodyPr/>
                    </wps:wsp>
                  </a:graphicData>
                </a:graphic>
              </wp:anchor>
            </w:drawing>
          </mc:Choice>
          <mc:Fallback>
            <w:pict>
              <v:line id="Shape 8" o:spid="_x0000_s103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23.2pt,10pt" to="523.2pt,26.8pt" o:allowincell="f" strokecolor="#000000" strokeweight="0.4809pt"/>
            </w:pict>
          </mc:Fallback>
        </mc:AlternateContent>
      </w:r>
    </w:p>
    <w:p>
      <w:pPr>
        <w:spacing w:after="0" w:line="187" w:lineRule="exact"/>
        <w:rPr>
          <w:sz w:val="20"/>
          <w:szCs w:val="20"/>
          <w:color w:val="auto"/>
        </w:rPr>
      </w:pPr>
    </w:p>
    <w:p>
      <w:pPr>
        <w:ind w:left="569"/>
        <w:spacing w:after="0"/>
        <w:rPr>
          <w:sz w:val="20"/>
          <w:szCs w:val="20"/>
          <w:color w:val="auto"/>
        </w:rPr>
      </w:pPr>
      <w:r>
        <w:rPr>
          <w:rFonts w:ascii="Times New Roman" w:cs="Times New Roman" w:eastAsia="Times New Roman" w:hAnsi="Times New Roman"/>
          <w:sz w:val="24"/>
          <w:szCs w:val="24"/>
          <w:b w:val="1"/>
          <w:bCs w:val="1"/>
          <w:color w:val="auto"/>
        </w:rPr>
        <w:t>ВЪВЕДЕНИЕ</w:t>
      </w:r>
    </w:p>
    <w:p>
      <w:pPr>
        <w:spacing w:after="0" w:line="149" w:lineRule="exact"/>
        <w:rPr>
          <w:sz w:val="20"/>
          <w:szCs w:val="20"/>
          <w:color w:val="auto"/>
        </w:rPr>
      </w:pPr>
    </w:p>
    <w:p>
      <w:pPr>
        <w:jc w:val="both"/>
        <w:ind w:left="9" w:firstLine="566"/>
        <w:spacing w:after="0"/>
        <w:rPr>
          <w:sz w:val="20"/>
          <w:szCs w:val="20"/>
          <w:color w:val="auto"/>
        </w:rPr>
      </w:pPr>
      <w:r>
        <w:rPr>
          <w:rFonts w:ascii="Times New Roman" w:cs="Times New Roman" w:eastAsia="Times New Roman" w:hAnsi="Times New Roman"/>
          <w:sz w:val="24"/>
          <w:szCs w:val="24"/>
          <w:color w:val="auto"/>
        </w:rPr>
        <w:t>Настоящото предложение за управление на минните отпадъци, явяващи се техногенен остатък от реализирането на добива на подземни богатства – индустриални минерали – глауконитови пясъчници е разработен съгласно изискванията на чл. 22 г, ал. 4 от Закона за подземните богатства</w:t>
      </w:r>
    </w:p>
    <w:p>
      <w:pPr>
        <w:ind w:left="189" w:hanging="189"/>
        <w:spacing w:after="0"/>
        <w:tabs>
          <w:tab w:leader="none" w:pos="189" w:val="left"/>
        </w:tabs>
        <w:numPr>
          <w:ilvl w:val="0"/>
          <w:numId w:val="3"/>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Наредба за управление на минните отпадъци, 2009 г. (Обн. ДВ. бр.5 от 19 Януари 2016 г.).</w:t>
      </w:r>
    </w:p>
    <w:p>
      <w:pPr>
        <w:jc w:val="both"/>
        <w:ind w:left="9" w:firstLine="558"/>
        <w:spacing w:after="0"/>
        <w:tabs>
          <w:tab w:leader="none" w:pos="834" w:val="left"/>
        </w:tabs>
        <w:numPr>
          <w:ilvl w:val="1"/>
          <w:numId w:val="3"/>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резултат на проведените комплексни търсещо-оценъчни и детайлни геологопроучвателни работи в обсега на площ „Глория” е установено и детайлно проучено ново находище на нерудни полезни изкопаеми – индустриален тип минерална суровина (глауконитови пясъчници), изходен продукт за производство на естествени минерални торове за селското стопанство, наречено „ГЛОРИЯ”.</w:t>
      </w:r>
    </w:p>
    <w:p>
      <w:pPr>
        <w:jc w:val="both"/>
        <w:ind w:left="9" w:firstLine="558"/>
        <w:spacing w:after="0"/>
        <w:tabs>
          <w:tab w:leader="none" w:pos="892" w:val="left"/>
        </w:tabs>
        <w:numPr>
          <w:ilvl w:val="1"/>
          <w:numId w:val="3"/>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настоящото предложение за управление на минните отпадъци е определен вида на съоръженията за депонирането им, описана е дейността по осъществяване на добива от открито находище „ГЛОРИЯ”, както и дейността пораждаща минни отпадъци, възможните рискове за околната среда и мерки за предотвратяването им, включително превантивни мерки за предотвратяване на замърсяването на елементите на околната среда; предложени са процедури за контрол и мониторинг, план за закриване на съоръжението и мерки за предотвратяване на големи аварии и авариен план.</w:t>
      </w:r>
    </w:p>
    <w:p>
      <w:pPr>
        <w:jc w:val="both"/>
        <w:ind w:left="9" w:firstLine="566"/>
        <w:spacing w:after="0" w:line="250"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Съгласно ЗПБ под „управление на минните отпадъци” се разбира „дейностите по транспортиране, депониране и съхраняване на минните отпадъци, както и изграждането, експлоатацията и закриването на съоръженията за минни отпадъци, и осъществяването на последващ мониторинг, поддръжка и технически надзор на закритото съоръжение”.</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-74295</wp:posOffset>
                </wp:positionH>
                <wp:positionV relativeFrom="paragraph">
                  <wp:posOffset>142240</wp:posOffset>
                </wp:positionV>
                <wp:extent cx="6721475" cy="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72147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 o:spid="_x0000_s10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8499pt,11.2pt" to="523.4pt,11.2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-74295</wp:posOffset>
                </wp:positionH>
                <wp:positionV relativeFrom="paragraph">
                  <wp:posOffset>524510</wp:posOffset>
                </wp:positionV>
                <wp:extent cx="6721475" cy="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72147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 o:spid="_x0000_s103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8499pt,41.3pt" to="523.4pt,41.3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-71120</wp:posOffset>
                </wp:positionH>
                <wp:positionV relativeFrom="paragraph">
                  <wp:posOffset>139065</wp:posOffset>
                </wp:positionV>
                <wp:extent cx="0" cy="38862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88620"/>
                        </a:xfrm>
                        <a:prstGeom prst="line">
                          <a:avLst/>
                        </a:prstGeom>
                        <a:solidFill>
                          <a:srgbClr val="FFFFFF"/>
                        </a:solidFill>
                        <a:ln w="6108">
                          <a:solidFill>
                            <a:srgbClr val="000000"/>
                          </a:solidFill>
                          <a:miter lim="800000"/>
                          <a:headEnd/>
                          <a:tailEnd/>
                        </a:ln>
                      </wps:spPr>
                      <wps:bodyPr/>
                    </wps:wsp>
                  </a:graphicData>
                </a:graphic>
              </wp:anchor>
            </w:drawing>
          </mc:Choice>
          <mc:Fallback>
            <w:pict>
              <v:line id="Shape 11" o:spid="_x0000_s10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10.95pt" to="-5.5999pt,41.55pt" o:allowincell="f" strokecolor="#000000" strokeweight="0.4809pt"/>
            </w:pict>
          </mc:Fallback>
        </mc:AlternateContent>
        <mc:AlternateContent>
          <mc:Choice Requires="wps">
            <w:drawing>
              <wp:anchor simplePos="0" relativeHeight="251657728" behindDoc="1" locked="0" layoutInCell="0" allowOverlap="1">
                <wp:simplePos x="0" y="0"/>
                <wp:positionH relativeFrom="column">
                  <wp:posOffset>6644640</wp:posOffset>
                </wp:positionH>
                <wp:positionV relativeFrom="paragraph">
                  <wp:posOffset>139065</wp:posOffset>
                </wp:positionV>
                <wp:extent cx="0" cy="38862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88620"/>
                        </a:xfrm>
                        <a:prstGeom prst="line">
                          <a:avLst/>
                        </a:prstGeom>
                        <a:solidFill>
                          <a:srgbClr val="FFFFFF"/>
                        </a:solidFill>
                        <a:ln w="6108">
                          <a:solidFill>
                            <a:srgbClr val="000000"/>
                          </a:solidFill>
                          <a:miter lim="800000"/>
                          <a:headEnd/>
                          <a:tailEnd/>
                        </a:ln>
                      </wps:spPr>
                      <wps:bodyPr/>
                    </wps:wsp>
                  </a:graphicData>
                </a:graphic>
              </wp:anchor>
            </w:drawing>
          </mc:Choice>
          <mc:Fallback>
            <w:pict>
              <v:line id="Shape 12" o:spid="_x0000_s10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23.2pt,10.95pt" to="523.2pt,41.55pt" o:allowincell="f" strokecolor="#000000" strokeweight="0.4809pt"/>
            </w:pict>
          </mc:Fallback>
        </mc:AlternateContent>
      </w:r>
    </w:p>
    <w:p>
      <w:pPr>
        <w:spacing w:after="0" w:line="206" w:lineRule="exact"/>
        <w:rPr>
          <w:sz w:val="20"/>
          <w:szCs w:val="20"/>
          <w:color w:val="auto"/>
        </w:rPr>
      </w:pPr>
    </w:p>
    <w:p>
      <w:pPr>
        <w:ind w:left="9" w:firstLine="558"/>
        <w:spacing w:after="0" w:line="278" w:lineRule="auto"/>
        <w:tabs>
          <w:tab w:leader="none" w:pos="887" w:val="left"/>
        </w:tabs>
        <w:numPr>
          <w:ilvl w:val="0"/>
          <w:numId w:val="4"/>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color w:val="auto"/>
        </w:rPr>
        <w:t>САМОЛИЧНОСТ НА ОПЕРАТОРА. АДРЕС НА СЪОРЪЖЕНИЕТО ЗА МИННИ ОТПАДЪЦИ</w:t>
      </w:r>
    </w:p>
    <w:p>
      <w:pPr>
        <w:spacing w:after="0" w:line="61" w:lineRule="exact"/>
        <w:rPr>
          <w:sz w:val="20"/>
          <w:szCs w:val="20"/>
          <w:color w:val="auto"/>
        </w:rPr>
      </w:pPr>
    </w:p>
    <w:p>
      <w:pPr>
        <w:jc w:val="both"/>
        <w:ind w:left="9" w:firstLine="566"/>
        <w:spacing w:after="0"/>
        <w:rPr>
          <w:sz w:val="20"/>
          <w:szCs w:val="20"/>
          <w:color w:val="auto"/>
        </w:rPr>
      </w:pPr>
      <w:r>
        <w:rPr>
          <w:rFonts w:ascii="Times New Roman" w:cs="Times New Roman" w:eastAsia="Times New Roman" w:hAnsi="Times New Roman"/>
          <w:sz w:val="24"/>
          <w:szCs w:val="24"/>
          <w:color w:val="auto"/>
        </w:rPr>
        <w:t>Находището е проучено от фирма „БН-КОНСУЛТ-ИНЖЕНИРИНГ” ООД във връзка с получено Разрешение №157/30.11.2011 г. на МИЕТ, сключен Договор от 18.04.2012 г. между “РБГ-КОНСУЛТ ИНЖЕНЕРИНГ”АД, гр. София и Министерството на икономиката, енергетиката и туризма и допълнително споразумение № 1 от 26.05.2014 г. между МИЕ, “РБГ-КОНСУЛТ ИНЖЕНЕРИНГ”АД и „БН-КОНСУЛТ-ИНЖЕНИРИНГ” ООД за прехвърляне изцяло правата и задълженията по договор за търсене и проучване в площ „Глория” на фирма „БН-КОНСУЛТ-ИНЖЕНИРИНГ” ООД.</w:t>
      </w:r>
    </w:p>
    <w:p>
      <w:pPr>
        <w:ind w:left="569"/>
        <w:spacing w:after="0"/>
        <w:rPr>
          <w:sz w:val="20"/>
          <w:szCs w:val="20"/>
          <w:color w:val="auto"/>
        </w:rPr>
      </w:pPr>
      <w:r>
        <w:rPr>
          <w:rFonts w:ascii="Times New Roman" w:cs="Times New Roman" w:eastAsia="Times New Roman" w:hAnsi="Times New Roman"/>
          <w:sz w:val="24"/>
          <w:szCs w:val="24"/>
          <w:color w:val="auto"/>
        </w:rPr>
        <w:t>Дружеството „БН – КОНСУЛТ ИНЖЕНИРИНГ“ ООД e със седалище и адрес на управление:</w:t>
      </w:r>
    </w:p>
    <w:p>
      <w:pPr>
        <w:ind w:left="9"/>
        <w:spacing w:after="0"/>
        <w:rPr>
          <w:sz w:val="20"/>
          <w:szCs w:val="20"/>
          <w:color w:val="auto"/>
        </w:rPr>
      </w:pPr>
      <w:r>
        <w:rPr>
          <w:rFonts w:ascii="Times New Roman" w:cs="Times New Roman" w:eastAsia="Times New Roman" w:hAnsi="Times New Roman"/>
          <w:sz w:val="24"/>
          <w:szCs w:val="24"/>
          <w:color w:val="auto"/>
        </w:rPr>
        <w:t>гр. София, кв. Павлово, ул. „Народен певец“ № 10. ЕИК: 130127887</w:t>
      </w:r>
    </w:p>
    <w:p>
      <w:pPr>
        <w:ind w:left="569"/>
        <w:spacing w:after="0"/>
        <w:rPr>
          <w:sz w:val="20"/>
          <w:szCs w:val="20"/>
          <w:color w:val="auto"/>
        </w:rPr>
      </w:pPr>
      <w:r>
        <w:rPr>
          <w:rFonts w:ascii="Times New Roman" w:cs="Times New Roman" w:eastAsia="Times New Roman" w:hAnsi="Times New Roman"/>
          <w:sz w:val="24"/>
          <w:szCs w:val="24"/>
          <w:color w:val="auto"/>
        </w:rPr>
        <w:t>Управител на Дружеството: д-р инж. Никола Вардев.</w:t>
      </w:r>
    </w:p>
    <w:p>
      <w:pPr>
        <w:ind w:left="569"/>
        <w:spacing w:after="0"/>
        <w:rPr>
          <w:sz w:val="20"/>
          <w:szCs w:val="20"/>
          <w:color w:val="auto"/>
        </w:rPr>
      </w:pPr>
      <w:r>
        <w:rPr>
          <w:rFonts w:ascii="Times New Roman" w:cs="Times New Roman" w:eastAsia="Times New Roman" w:hAnsi="Times New Roman"/>
          <w:sz w:val="24"/>
          <w:szCs w:val="24"/>
          <w:color w:val="auto"/>
        </w:rPr>
        <w:t>Основен предмет на дейност: изследователска, проектантска, конструкторска, инженерингова</w:t>
      </w:r>
    </w:p>
    <w:p>
      <w:pPr>
        <w:ind w:left="9" w:hanging="9"/>
        <w:spacing w:after="0"/>
        <w:tabs>
          <w:tab w:leader="none" w:pos="246" w:val="left"/>
        </w:tabs>
        <w:numPr>
          <w:ilvl w:val="0"/>
          <w:numId w:val="5"/>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сервизна дейност в областта на: геологията, геофизиката, екологията, търсенето, проучването, добива и първичната преработка на полезни изкопаеми.</w:t>
      </w:r>
    </w:p>
    <w:p>
      <w:pPr>
        <w:jc w:val="both"/>
        <w:ind w:left="9" w:firstLine="558"/>
        <w:spacing w:after="0" w:line="245" w:lineRule="auto"/>
        <w:tabs>
          <w:tab w:leader="none" w:pos="818" w:val="left"/>
        </w:tabs>
        <w:numPr>
          <w:ilvl w:val="1"/>
          <w:numId w:val="5"/>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административно отношение находище „ГЛОРИЯ” е разположено в землищата на с. Мало Пещене и с. Голямо Пещене, общ. Враца, обл. Враца и отстои на 26 km СИ от гр. Враца, на 58 km ЮЗ от пристанище Оряхово и р. Дунав и на 134 km СИ от гр. София. Находището е разположено югоизточно от с. Мало Пещене и на около 2 km СИ от с. Голямо Пещене. До с. Мало Пещене и съответно до находището се стига по асфалтов път от националната пътна мрежа (второкласен път 15), свързващ гр. Враца с пристанище Оряхово. Отклонението от този асфалтов път при с. Баница, до село Мало Пещене е 5,3 km. Юг-югозападно от площта преминава р. Скът, приток на р. Огоста.</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1" w:lineRule="exact"/>
        <w:rPr>
          <w:sz w:val="20"/>
          <w:szCs w:val="20"/>
          <w:color w:val="auto"/>
        </w:rPr>
      </w:pPr>
    </w:p>
    <w:p>
      <w:pPr>
        <w:ind w:left="10209"/>
        <w:spacing w:after="0"/>
        <w:rPr>
          <w:sz w:val="20"/>
          <w:szCs w:val="20"/>
          <w:color w:val="auto"/>
        </w:rPr>
      </w:pPr>
      <w:r>
        <w:rPr>
          <w:rFonts w:ascii="Times New Roman" w:cs="Times New Roman" w:eastAsia="Times New Roman" w:hAnsi="Times New Roman"/>
          <w:sz w:val="20"/>
          <w:szCs w:val="20"/>
          <w:color w:val="auto"/>
        </w:rPr>
        <w:t>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-60325</wp:posOffset>
            </wp:positionV>
            <wp:extent cx="6438900" cy="285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extLst>
                    </a:blip>
                    <a:srcRect/>
                    <a:stretch>
                      <a:fillRect/>
                    </a:stretch>
                  </pic:blipFill>
                  <pic:spPr bwMode="auto">
                    <a:xfrm>
                      <a:off x="0" y="0"/>
                      <a:ext cx="6438900" cy="28575"/>
                    </a:xfrm>
                    <a:prstGeom prst="rect">
                      <a:avLst/>
                    </a:prstGeom>
                    <a:noFill/>
                  </pic:spPr>
                </pic:pic>
              </a:graphicData>
            </a:graphic>
          </wp:anchor>
        </w:drawing>
      </w:r>
    </w:p>
    <w:p>
      <w:pPr>
        <w:sectPr>
          <w:pgSz w:w="11920" w:h="16850" w:orient="portrait"/>
          <w:cols w:equalWidth="0" w:num="1">
            <w:col w:w="10349"/>
          </w:cols>
          <w:pgMar w:left="991" w:top="376" w:right="571" w:bottom="0" w:gutter="0" w:footer="0" w:header="0"/>
        </w:sectPr>
      </w:pPr>
    </w:p>
    <w:p>
      <w:pPr>
        <w:spacing w:after="0" w:line="2" w:lineRule="exact"/>
        <w:rPr>
          <w:sz w:val="20"/>
          <w:szCs w:val="20"/>
          <w:color w:val="auto"/>
        </w:rPr>
      </w:pPr>
    </w:p>
    <w:p>
      <w:pPr>
        <w:jc w:val="center"/>
        <w:ind w:right="6691"/>
        <w:spacing w:after="0"/>
        <w:rPr>
          <w:sz w:val="20"/>
          <w:szCs w:val="20"/>
          <w:color w:val="auto"/>
        </w:rPr>
      </w:pPr>
      <w:r>
        <w:rPr>
          <w:rFonts w:ascii="Times New Roman" w:cs="Times New Roman" w:eastAsia="Times New Roman" w:hAnsi="Times New Roman"/>
          <w:sz w:val="15"/>
          <w:szCs w:val="15"/>
          <w:b w:val="1"/>
          <w:bCs w:val="1"/>
          <w:color w:val="999999"/>
        </w:rPr>
        <w:t>Титуляр: „БН-КОНСУЛТ-ИНЖЕНИРИНГ” ООД</w:t>
      </w:r>
    </w:p>
    <w:p>
      <w:pPr>
        <w:spacing w:after="0" w:line="12" w:lineRule="exact"/>
        <w:rPr>
          <w:sz w:val="20"/>
          <w:szCs w:val="20"/>
          <w:color w:val="auto"/>
        </w:rPr>
      </w:pPr>
    </w:p>
    <w:p>
      <w:pPr>
        <w:jc w:val="center"/>
        <w:ind w:right="6811"/>
        <w:spacing w:after="0"/>
        <w:rPr>
          <w:sz w:val="20"/>
          <w:szCs w:val="20"/>
          <w:color w:val="auto"/>
        </w:rPr>
      </w:pPr>
      <w:r>
        <w:rPr>
          <w:rFonts w:ascii="Times New Roman" w:cs="Times New Roman" w:eastAsia="Times New Roman" w:hAnsi="Times New Roman"/>
          <w:sz w:val="16"/>
          <w:szCs w:val="16"/>
          <w:b w:val="1"/>
          <w:bCs w:val="1"/>
          <w:color w:val="999999"/>
        </w:rPr>
        <w:t>гр. София</w:t>
      </w:r>
    </w:p>
    <w:p>
      <w:pPr>
        <w:sectPr>
          <w:pgSz w:w="11920" w:h="16850" w:orient="portrait"/>
          <w:cols w:equalWidth="0" w:num="1">
            <w:col w:w="10349"/>
          </w:cols>
          <w:pgMar w:left="991" w:top="376" w:right="571" w:bottom="0" w:gutter="0" w:footer="0" w:header="0"/>
          <w:type w:val="continuous"/>
        </w:sectPr>
      </w:pPr>
    </w:p>
    <w:p>
      <w:pPr>
        <w:jc w:val="both"/>
        <w:spacing w:after="0" w:line="255" w:lineRule="auto"/>
        <w:rPr>
          <w:sz w:val="20"/>
          <w:szCs w:val="20"/>
          <w:color w:val="auto"/>
        </w:rPr>
      </w:pPr>
      <w:r>
        <w:rPr>
          <w:rFonts w:ascii="Times New Roman" w:cs="Times New Roman" w:eastAsia="Times New Roman" w:hAnsi="Times New Roman"/>
          <w:sz w:val="20"/>
          <w:szCs w:val="20"/>
          <w:b w:val="1"/>
          <w:bCs w:val="1"/>
          <w:color w:val="auto"/>
        </w:rPr>
        <w:t xml:space="preserve">ПРЕДЛОЖЕНИЕ ЗА УПРАВЛЕНИЕ НА МИННИТЕ ОТПАДЪЦИ при осъществяване на инвестиционно предложение: „Добив на подземни богатства – индустриални минерали - глауконитови пясъчници от находище </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b w:val="1"/>
          <w:bCs w:val="1"/>
          <w:color w:val="auto"/>
        </w:rPr>
        <w:t>ГЛОРИЯ</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b w:val="1"/>
          <w:bCs w:val="1"/>
          <w:color w:val="auto"/>
        </w:rPr>
        <w:t>,</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разположено в землищата на с.</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Мало Пещене и с.</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Голямо Пещене,</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община Враца,</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област Враца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-12065</wp:posOffset>
            </wp:positionH>
            <wp:positionV relativeFrom="paragraph">
              <wp:posOffset>11430</wp:posOffset>
            </wp:positionV>
            <wp:extent cx="6553200" cy="67697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extLst>
                    </a:blip>
                    <a:srcRect/>
                    <a:stretch>
                      <a:fillRect/>
                    </a:stretch>
                  </pic:blipFill>
                  <pic:spPr bwMode="auto">
                    <a:xfrm>
                      <a:off x="0" y="0"/>
                      <a:ext cx="6553200" cy="676973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5" w:lineRule="exact"/>
        <w:rPr>
          <w:sz w:val="20"/>
          <w:szCs w:val="20"/>
          <w:color w:val="auto"/>
        </w:rPr>
      </w:pPr>
    </w:p>
    <w:p>
      <w:pPr>
        <w:ind w:left="560"/>
        <w:spacing w:after="0"/>
        <w:rPr>
          <w:sz w:val="20"/>
          <w:szCs w:val="20"/>
          <w:color w:val="auto"/>
        </w:rPr>
      </w:pPr>
      <w:r>
        <w:rPr>
          <w:rFonts w:ascii="Times New Roman" w:cs="Times New Roman" w:eastAsia="Times New Roman" w:hAnsi="Times New Roman"/>
          <w:sz w:val="24"/>
          <w:szCs w:val="24"/>
          <w:b w:val="1"/>
          <w:bCs w:val="1"/>
          <w:color w:val="auto"/>
        </w:rPr>
        <w:t xml:space="preserve">Фиг. 1. </w:t>
      </w:r>
      <w:r>
        <w:rPr>
          <w:rFonts w:ascii="Times New Roman" w:cs="Times New Roman" w:eastAsia="Times New Roman" w:hAnsi="Times New Roman"/>
          <w:sz w:val="24"/>
          <w:szCs w:val="24"/>
          <w:color w:val="auto"/>
        </w:rPr>
        <w:t>Обзорна карта,</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отразяваща местоположението на концесионна площ</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„ГЛОРИЯ”</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4" w:lineRule="exact"/>
        <w:rPr>
          <w:sz w:val="20"/>
          <w:szCs w:val="20"/>
          <w:color w:val="auto"/>
        </w:rPr>
      </w:pPr>
    </w:p>
    <w:p>
      <w:pPr>
        <w:ind w:left="10200"/>
        <w:spacing w:after="0"/>
        <w:rPr>
          <w:sz w:val="20"/>
          <w:szCs w:val="20"/>
          <w:color w:val="auto"/>
        </w:rPr>
      </w:pPr>
      <w:r>
        <w:rPr>
          <w:rFonts w:ascii="Times New Roman" w:cs="Times New Roman" w:eastAsia="Times New Roman" w:hAnsi="Times New Roman"/>
          <w:sz w:val="20"/>
          <w:szCs w:val="20"/>
          <w:color w:val="auto"/>
        </w:rPr>
        <w:t>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-15240</wp:posOffset>
            </wp:positionH>
            <wp:positionV relativeFrom="paragraph">
              <wp:posOffset>-60325</wp:posOffset>
            </wp:positionV>
            <wp:extent cx="6438900" cy="285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extLst>
                    </a:blip>
                    <a:srcRect/>
                    <a:stretch>
                      <a:fillRect/>
                    </a:stretch>
                  </pic:blipFill>
                  <pic:spPr bwMode="auto">
                    <a:xfrm>
                      <a:off x="0" y="0"/>
                      <a:ext cx="6438900" cy="28575"/>
                    </a:xfrm>
                    <a:prstGeom prst="rect">
                      <a:avLst/>
                    </a:prstGeom>
                    <a:noFill/>
                  </pic:spPr>
                </pic:pic>
              </a:graphicData>
            </a:graphic>
          </wp:anchor>
        </w:drawing>
      </w:r>
    </w:p>
    <w:p>
      <w:pPr>
        <w:sectPr>
          <w:pgSz w:w="11920" w:h="16850" w:orient="portrait"/>
          <w:cols w:equalWidth="0" w:num="1">
            <w:col w:w="10340"/>
          </w:cols>
          <w:pgMar w:left="1000" w:top="376" w:right="571" w:bottom="0" w:gutter="0" w:footer="0" w:header="0"/>
        </w:sectPr>
      </w:pPr>
    </w:p>
    <w:p>
      <w:pPr>
        <w:spacing w:after="0" w:line="2" w:lineRule="exact"/>
        <w:rPr>
          <w:sz w:val="20"/>
          <w:szCs w:val="20"/>
          <w:color w:val="auto"/>
        </w:rPr>
      </w:pPr>
    </w:p>
    <w:p>
      <w:pPr>
        <w:jc w:val="center"/>
        <w:ind w:right="6700"/>
        <w:spacing w:after="0"/>
        <w:rPr>
          <w:sz w:val="20"/>
          <w:szCs w:val="20"/>
          <w:color w:val="auto"/>
        </w:rPr>
      </w:pPr>
      <w:r>
        <w:rPr>
          <w:rFonts w:ascii="Times New Roman" w:cs="Times New Roman" w:eastAsia="Times New Roman" w:hAnsi="Times New Roman"/>
          <w:sz w:val="15"/>
          <w:szCs w:val="15"/>
          <w:b w:val="1"/>
          <w:bCs w:val="1"/>
          <w:color w:val="999999"/>
        </w:rPr>
        <w:t>Титуляр: „БН-КОНСУЛТ-ИНЖЕНИРИНГ” ООД</w:t>
      </w:r>
    </w:p>
    <w:p>
      <w:pPr>
        <w:spacing w:after="0" w:line="12" w:lineRule="exact"/>
        <w:rPr>
          <w:sz w:val="20"/>
          <w:szCs w:val="20"/>
          <w:color w:val="auto"/>
        </w:rPr>
      </w:pPr>
    </w:p>
    <w:p>
      <w:pPr>
        <w:jc w:val="center"/>
        <w:ind w:right="6820"/>
        <w:spacing w:after="0"/>
        <w:rPr>
          <w:sz w:val="20"/>
          <w:szCs w:val="20"/>
          <w:color w:val="auto"/>
        </w:rPr>
      </w:pPr>
      <w:r>
        <w:rPr>
          <w:rFonts w:ascii="Times New Roman" w:cs="Times New Roman" w:eastAsia="Times New Roman" w:hAnsi="Times New Roman"/>
          <w:sz w:val="16"/>
          <w:szCs w:val="16"/>
          <w:b w:val="1"/>
          <w:bCs w:val="1"/>
          <w:color w:val="999999"/>
        </w:rPr>
        <w:t>гр. София</w:t>
      </w:r>
    </w:p>
    <w:p>
      <w:pPr>
        <w:sectPr>
          <w:pgSz w:w="11920" w:h="16850" w:orient="portrait"/>
          <w:cols w:equalWidth="0" w:num="1">
            <w:col w:w="10340"/>
          </w:cols>
          <w:pgMar w:left="1000" w:top="376" w:right="571" w:bottom="0" w:gutter="0" w:footer="0" w:header="0"/>
          <w:type w:val="continuous"/>
        </w:sectPr>
      </w:pPr>
    </w:p>
    <w:p>
      <w:pPr>
        <w:jc w:val="both"/>
        <w:spacing w:after="0" w:line="255" w:lineRule="auto"/>
        <w:rPr>
          <w:sz w:val="20"/>
          <w:szCs w:val="20"/>
          <w:color w:val="auto"/>
        </w:rPr>
      </w:pPr>
      <w:r>
        <w:rPr>
          <w:rFonts w:ascii="Times New Roman" w:cs="Times New Roman" w:eastAsia="Times New Roman" w:hAnsi="Times New Roman"/>
          <w:sz w:val="20"/>
          <w:szCs w:val="20"/>
          <w:b w:val="1"/>
          <w:bCs w:val="1"/>
          <w:color w:val="auto"/>
        </w:rPr>
        <w:t xml:space="preserve">ПРЕДЛОЖЕНИЕ ЗА УПРАВЛЕНИЕ НА МИННИТЕ ОТПАДЪЦИ при осъществяване на инвестиционно предложение: „Добив на подземни богатства – индустриални минерали - глауконитови пясъчници от находище </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b w:val="1"/>
          <w:bCs w:val="1"/>
          <w:color w:val="auto"/>
        </w:rPr>
        <w:t>ГЛОРИЯ</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b w:val="1"/>
          <w:bCs w:val="1"/>
          <w:color w:val="auto"/>
        </w:rPr>
        <w:t>,</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разположено в землищата на с.</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Мало Пещене и с.</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Голямо Пещене,</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община Враца,</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област Враца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-12065</wp:posOffset>
            </wp:positionH>
            <wp:positionV relativeFrom="paragraph">
              <wp:posOffset>11430</wp:posOffset>
            </wp:positionV>
            <wp:extent cx="6724015" cy="453961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extLst>
                    </a:blip>
                    <a:srcRect/>
                    <a:stretch>
                      <a:fillRect/>
                    </a:stretch>
                  </pic:blipFill>
                  <pic:spPr bwMode="auto">
                    <a:xfrm>
                      <a:off x="0" y="0"/>
                      <a:ext cx="6724015" cy="45396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3" w:lineRule="exact"/>
        <w:rPr>
          <w:sz w:val="20"/>
          <w:szCs w:val="20"/>
          <w:color w:val="auto"/>
        </w:rPr>
      </w:pPr>
    </w:p>
    <w:p>
      <w:pPr>
        <w:jc w:val="both"/>
        <w:ind w:firstLine="566"/>
        <w:spacing w:after="0" w:line="276" w:lineRule="auto"/>
        <w:rPr>
          <w:sz w:val="20"/>
          <w:szCs w:val="20"/>
          <w:color w:val="auto"/>
        </w:rPr>
      </w:pPr>
      <w:r>
        <w:rPr>
          <w:rFonts w:ascii="Times New Roman" w:cs="Times New Roman" w:eastAsia="Times New Roman" w:hAnsi="Times New Roman"/>
          <w:sz w:val="24"/>
          <w:szCs w:val="24"/>
          <w:b w:val="1"/>
          <w:bCs w:val="1"/>
          <w:color w:val="auto"/>
        </w:rPr>
        <w:t xml:space="preserve">Фиг. 2. </w:t>
      </w:r>
      <w:r>
        <w:rPr>
          <w:rFonts w:ascii="Times New Roman" w:cs="Times New Roman" w:eastAsia="Times New Roman" w:hAnsi="Times New Roman"/>
          <w:sz w:val="24"/>
          <w:szCs w:val="24"/>
          <w:color w:val="auto"/>
        </w:rPr>
        <w:t>Топографска карта в М</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1:30 000</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с разположението на находище</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„ГЛОРИЯ”и</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концесионна площ „ГЛОРИЯ”</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-80010</wp:posOffset>
                </wp:positionH>
                <wp:positionV relativeFrom="paragraph">
                  <wp:posOffset>121920</wp:posOffset>
                </wp:positionV>
                <wp:extent cx="6722110" cy="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7221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7" o:spid="_x0000_s104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2999pt,9.6pt" to="523pt,9.6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-80010</wp:posOffset>
                </wp:positionH>
                <wp:positionV relativeFrom="paragraph">
                  <wp:posOffset>328930</wp:posOffset>
                </wp:positionV>
                <wp:extent cx="6722110" cy="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722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8" o:spid="_x0000_s104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2999pt,25.9pt" to="523pt,25.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-76835</wp:posOffset>
                </wp:positionH>
                <wp:positionV relativeFrom="paragraph">
                  <wp:posOffset>118745</wp:posOffset>
                </wp:positionV>
                <wp:extent cx="0" cy="21336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13360"/>
                        </a:xfrm>
                        <a:prstGeom prst="line">
                          <a:avLst/>
                        </a:prstGeom>
                        <a:solidFill>
                          <a:srgbClr val="FFFFFF"/>
                        </a:solidFill>
                        <a:ln w="6108">
                          <a:solidFill>
                            <a:srgbClr val="000000"/>
                          </a:solidFill>
                          <a:miter lim="800000"/>
                          <a:headEnd/>
                          <a:tailEnd/>
                        </a:ln>
                      </wps:spPr>
                      <wps:bodyPr/>
                    </wps:wsp>
                  </a:graphicData>
                </a:graphic>
              </wp:anchor>
            </w:drawing>
          </mc:Choice>
          <mc:Fallback>
            <w:pict>
              <v:line id="Shape 19" o:spid="_x0000_s10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0499pt,9.35pt" to="-6.0499pt,26.15pt" o:allowincell="f" strokecolor="#000000" strokeweight="0.4809pt"/>
            </w:pict>
          </mc:Fallback>
        </mc:AlternateContent>
        <mc:AlternateContent>
          <mc:Choice Requires="wps">
            <w:drawing>
              <wp:anchor simplePos="0" relativeHeight="251657728" behindDoc="1" locked="0" layoutInCell="0" allowOverlap="1">
                <wp:simplePos x="0" y="0"/>
                <wp:positionH relativeFrom="column">
                  <wp:posOffset>6638925</wp:posOffset>
                </wp:positionH>
                <wp:positionV relativeFrom="paragraph">
                  <wp:posOffset>118745</wp:posOffset>
                </wp:positionV>
                <wp:extent cx="0" cy="21336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13360"/>
                        </a:xfrm>
                        <a:prstGeom prst="line">
                          <a:avLst/>
                        </a:prstGeom>
                        <a:solidFill>
                          <a:srgbClr val="FFFFFF"/>
                        </a:solidFill>
                        <a:ln w="6108">
                          <a:solidFill>
                            <a:srgbClr val="000000"/>
                          </a:solidFill>
                          <a:miter lim="800000"/>
                          <a:headEnd/>
                          <a:tailEnd/>
                        </a:ln>
                      </wps:spPr>
                      <wps:bodyPr/>
                    </wps:wsp>
                  </a:graphicData>
                </a:graphic>
              </wp:anchor>
            </w:drawing>
          </mc:Choice>
          <mc:Fallback>
            <w:pict>
              <v:line id="Shape 20" o:spid="_x0000_s104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22.75pt,9.35pt" to="522.75pt,26.15pt" o:allowincell="f" strokecolor="#000000" strokeweight="0.4809pt"/>
            </w:pict>
          </mc:Fallback>
        </mc:AlternateContent>
      </w:r>
    </w:p>
    <w:p>
      <w:pPr>
        <w:spacing w:after="0" w:line="173" w:lineRule="exact"/>
        <w:rPr>
          <w:sz w:val="20"/>
          <w:szCs w:val="20"/>
          <w:color w:val="auto"/>
        </w:rPr>
      </w:pPr>
    </w:p>
    <w:p>
      <w:pPr>
        <w:ind w:left="800" w:hanging="242"/>
        <w:spacing w:after="0"/>
        <w:tabs>
          <w:tab w:leader="none" w:pos="800" w:val="left"/>
        </w:tabs>
        <w:numPr>
          <w:ilvl w:val="0"/>
          <w:numId w:val="6"/>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color w:val="auto"/>
        </w:rPr>
        <w:t>ДЕЙНОСТИ, В РЕЗУЛТАТ НА КОИТО СЕ ГЕНЕРИРАТ МИННИ ОТПАДЪЦИ</w:t>
      </w:r>
    </w:p>
    <w:p>
      <w:pPr>
        <w:spacing w:after="0" w:line="149" w:lineRule="exact"/>
        <w:rPr>
          <w:sz w:val="20"/>
          <w:szCs w:val="20"/>
          <w:color w:val="auto"/>
        </w:rPr>
      </w:pPr>
    </w:p>
    <w:p>
      <w:pPr>
        <w:jc w:val="both"/>
        <w:ind w:firstLine="566"/>
        <w:spacing w:after="0"/>
        <w:rPr>
          <w:sz w:val="20"/>
          <w:szCs w:val="20"/>
          <w:color w:val="auto"/>
        </w:rPr>
      </w:pPr>
      <w:r>
        <w:rPr>
          <w:rFonts w:ascii="Times New Roman" w:cs="Times New Roman" w:eastAsia="Times New Roman" w:hAnsi="Times New Roman"/>
          <w:sz w:val="24"/>
          <w:szCs w:val="24"/>
          <w:color w:val="auto"/>
        </w:rPr>
        <w:t>Съгласно технологичната схема на добив на глауконитови пясъчници от находище “Глория” минни отпадъци се генерират при извършване на разкривни работи.</w:t>
      </w:r>
    </w:p>
    <w:p>
      <w:pPr>
        <w:jc w:val="both"/>
        <w:ind w:firstLine="566"/>
        <w:spacing w:after="0"/>
        <w:rPr>
          <w:sz w:val="20"/>
          <w:szCs w:val="20"/>
          <w:color w:val="auto"/>
        </w:rPr>
      </w:pPr>
      <w:r>
        <w:rPr>
          <w:rFonts w:ascii="Times New Roman" w:cs="Times New Roman" w:eastAsia="Times New Roman" w:hAnsi="Times New Roman"/>
          <w:sz w:val="24"/>
          <w:szCs w:val="24"/>
          <w:color w:val="auto"/>
        </w:rPr>
        <w:t>Според геоложките проучвания в находището разкривката е представена и се състои от почвен слой и песъчливи глини, и скална разкривка. Скалната разкривка е изветрял повърхностен слой пясъчник и е беден, с много малко съдържание и/или отсъствие на глауконит, който е икономически неизгоден за последваща преработка и сепариране.</w:t>
      </w:r>
    </w:p>
    <w:p>
      <w:pPr>
        <w:jc w:val="both"/>
        <w:ind w:firstLine="558"/>
        <w:spacing w:after="0"/>
        <w:tabs>
          <w:tab w:leader="none" w:pos="790" w:val="left"/>
        </w:tabs>
        <w:numPr>
          <w:ilvl w:val="0"/>
          <w:numId w:val="7"/>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част от отстранената скална откривка ще се изгради предпазен вал с височина от два метра в северозападната окрайнина на площта на доказаните запаси и по този начин ще се обезопаси кариерния котлован от повръхностни води при проливни дъждове и като цяло ще се намали нарушената площ при реализиране на добива.</w:t>
      </w:r>
    </w:p>
    <w:p>
      <w:pPr>
        <w:jc w:val="both"/>
        <w:ind w:firstLine="566"/>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Почвените материали ще се депонират на изградено външно насипище с оглед удобното им използване за рекултивация на бордовете на кариерата и терена на последния експлоатационен хоризонт.</w:t>
      </w:r>
    </w:p>
    <w:p>
      <w:pPr>
        <w:jc w:val="both"/>
        <w:ind w:firstLine="566"/>
        <w:spacing w:after="0" w:line="239"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Скалната откривка от песъчлива глина в началния етап на експлоатация ще се депонира на външно насипище, но в рамките на концесионната площ, а след освобождаване на достатъчно място вследствие на добива ще се депонира директно във вътрешни насипища в отработеното пространство.</w:t>
      </w:r>
    </w:p>
    <w:p>
      <w:pPr>
        <w:spacing w:after="0" w:line="2" w:lineRule="exact"/>
        <w:rPr>
          <w:rFonts w:ascii="Times New Roman" w:cs="Times New Roman" w:eastAsia="Times New Roman" w:hAnsi="Times New Roman"/>
          <w:sz w:val="24"/>
          <w:szCs w:val="24"/>
          <w:color w:val="auto"/>
        </w:rPr>
      </w:pPr>
    </w:p>
    <w:p>
      <w:pPr>
        <w:jc w:val="both"/>
        <w:ind w:firstLine="566"/>
        <w:spacing w:after="0" w:line="196"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Общо за 35-годишния концесионен период в рамките на доказаните запаси от находището се очаква да бъдат иззети 444026 m</w:t>
      </w:r>
      <w:r>
        <w:rPr>
          <w:rFonts w:ascii="Times New Roman" w:cs="Times New Roman" w:eastAsia="Times New Roman" w:hAnsi="Times New Roman"/>
          <w:sz w:val="32"/>
          <w:szCs w:val="32"/>
          <w:color w:val="auto"/>
          <w:vertAlign w:val="superscript"/>
        </w:rPr>
        <w:t>3</w:t>
      </w:r>
      <w:r>
        <w:rPr>
          <w:rFonts w:ascii="Times New Roman" w:cs="Times New Roman" w:eastAsia="Times New Roman" w:hAnsi="Times New Roman"/>
          <w:sz w:val="24"/>
          <w:szCs w:val="24"/>
          <w:color w:val="auto"/>
        </w:rPr>
        <w:t xml:space="preserve"> откривни материали, от които почвен слой в обем от около 120000 m</w:t>
      </w:r>
      <w:r>
        <w:rPr>
          <w:rFonts w:ascii="Times New Roman" w:cs="Times New Roman" w:eastAsia="Times New Roman" w:hAnsi="Times New Roman"/>
          <w:sz w:val="32"/>
          <w:szCs w:val="32"/>
          <w:color w:val="auto"/>
          <w:vertAlign w:val="superscript"/>
        </w:rPr>
        <w:t>3</w:t>
      </w:r>
      <w:r>
        <w:rPr>
          <w:rFonts w:ascii="Times New Roman" w:cs="Times New Roman" w:eastAsia="Times New Roman" w:hAnsi="Times New Roman"/>
          <w:sz w:val="24"/>
          <w:szCs w:val="24"/>
          <w:color w:val="auto"/>
        </w:rPr>
        <w:t xml:space="preserve"> и песъчливи глини в обем от 324026 m</w:t>
      </w:r>
      <w:r>
        <w:rPr>
          <w:rFonts w:ascii="Times New Roman" w:cs="Times New Roman" w:eastAsia="Times New Roman" w:hAnsi="Times New Roman"/>
          <w:sz w:val="32"/>
          <w:szCs w:val="32"/>
          <w:color w:val="auto"/>
          <w:vertAlign w:val="superscript"/>
        </w:rPr>
        <w:t>3</w:t>
      </w:r>
      <w:r>
        <w:rPr>
          <w:rFonts w:ascii="Times New Roman" w:cs="Times New Roman" w:eastAsia="Times New Roman" w:hAnsi="Times New Roman"/>
          <w:sz w:val="24"/>
          <w:szCs w:val="24"/>
          <w:color w:val="auto"/>
        </w:rPr>
        <w:t>.</w:t>
      </w:r>
    </w:p>
    <w:p>
      <w:pPr>
        <w:spacing w:after="0" w:line="1" w:lineRule="exact"/>
        <w:rPr>
          <w:rFonts w:ascii="Times New Roman" w:cs="Times New Roman" w:eastAsia="Times New Roman" w:hAnsi="Times New Roman"/>
          <w:sz w:val="24"/>
          <w:szCs w:val="24"/>
          <w:color w:val="auto"/>
        </w:rPr>
      </w:pPr>
    </w:p>
    <w:p>
      <w:pPr>
        <w:ind w:left="560"/>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Общият обем на откривката за цялото находище (запаси и ресурси) е 2 172 227 m</w:t>
      </w:r>
      <w:r>
        <w:rPr>
          <w:rFonts w:ascii="Times New Roman" w:cs="Times New Roman" w:eastAsia="Times New Roman" w:hAnsi="Times New Roman"/>
          <w:sz w:val="32"/>
          <w:szCs w:val="32"/>
          <w:color w:val="auto"/>
          <w:vertAlign w:val="superscript"/>
        </w:rPr>
        <w:t>3</w:t>
      </w:r>
      <w:r>
        <w:rPr>
          <w:rFonts w:ascii="Times New Roman" w:cs="Times New Roman" w:eastAsia="Times New Roman" w:hAnsi="Times New Roman"/>
          <w:sz w:val="24"/>
          <w:szCs w:val="24"/>
          <w:color w:val="auto"/>
        </w:rPr>
        <w:t>.</w:t>
      </w:r>
    </w:p>
    <w:p>
      <w:pPr>
        <w:spacing w:after="0" w:line="200" w:lineRule="exact"/>
        <w:rPr>
          <w:sz w:val="20"/>
          <w:szCs w:val="20"/>
          <w:color w:val="auto"/>
        </w:rPr>
      </w:pPr>
    </w:p>
    <w:p>
      <w:pPr>
        <w:spacing w:after="0" w:line="253" w:lineRule="exact"/>
        <w:rPr>
          <w:sz w:val="20"/>
          <w:szCs w:val="20"/>
          <w:color w:val="auto"/>
        </w:rPr>
      </w:pPr>
    </w:p>
    <w:p>
      <w:pPr>
        <w:ind w:left="10200"/>
        <w:spacing w:after="0"/>
        <w:rPr>
          <w:sz w:val="20"/>
          <w:szCs w:val="20"/>
          <w:color w:val="auto"/>
        </w:rPr>
      </w:pPr>
      <w:r>
        <w:rPr>
          <w:rFonts w:ascii="Times New Roman" w:cs="Times New Roman" w:eastAsia="Times New Roman" w:hAnsi="Times New Roman"/>
          <w:sz w:val="20"/>
          <w:szCs w:val="20"/>
          <w:color w:val="auto"/>
        </w:rPr>
        <w:t>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-15240</wp:posOffset>
            </wp:positionH>
            <wp:positionV relativeFrom="paragraph">
              <wp:posOffset>-60325</wp:posOffset>
            </wp:positionV>
            <wp:extent cx="6438900" cy="2857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extLst>
                    </a:blip>
                    <a:srcRect/>
                    <a:stretch>
                      <a:fillRect/>
                    </a:stretch>
                  </pic:blipFill>
                  <pic:spPr bwMode="auto">
                    <a:xfrm>
                      <a:off x="0" y="0"/>
                      <a:ext cx="6438900" cy="28575"/>
                    </a:xfrm>
                    <a:prstGeom prst="rect">
                      <a:avLst/>
                    </a:prstGeom>
                    <a:noFill/>
                  </pic:spPr>
                </pic:pic>
              </a:graphicData>
            </a:graphic>
          </wp:anchor>
        </w:drawing>
      </w:r>
    </w:p>
    <w:p>
      <w:pPr>
        <w:sectPr>
          <w:pgSz w:w="11920" w:h="16850" w:orient="portrait"/>
          <w:cols w:equalWidth="0" w:num="1">
            <w:col w:w="10340"/>
          </w:cols>
          <w:pgMar w:left="1000" w:top="376" w:right="571" w:bottom="0" w:gutter="0" w:footer="0" w:header="0"/>
        </w:sectPr>
      </w:pPr>
    </w:p>
    <w:p>
      <w:pPr>
        <w:spacing w:after="0" w:line="2" w:lineRule="exact"/>
        <w:rPr>
          <w:sz w:val="20"/>
          <w:szCs w:val="20"/>
          <w:color w:val="auto"/>
        </w:rPr>
      </w:pPr>
    </w:p>
    <w:p>
      <w:pPr>
        <w:jc w:val="center"/>
        <w:ind w:right="6700"/>
        <w:spacing w:after="0"/>
        <w:rPr>
          <w:sz w:val="20"/>
          <w:szCs w:val="20"/>
          <w:color w:val="auto"/>
        </w:rPr>
      </w:pPr>
      <w:r>
        <w:rPr>
          <w:rFonts w:ascii="Times New Roman" w:cs="Times New Roman" w:eastAsia="Times New Roman" w:hAnsi="Times New Roman"/>
          <w:sz w:val="15"/>
          <w:szCs w:val="15"/>
          <w:b w:val="1"/>
          <w:bCs w:val="1"/>
          <w:color w:val="999999"/>
        </w:rPr>
        <w:t>Титуляр: „БН-КОНСУЛТ-ИНЖЕНИРИНГ” ООД</w:t>
      </w:r>
    </w:p>
    <w:p>
      <w:pPr>
        <w:spacing w:after="0" w:line="12" w:lineRule="exact"/>
        <w:rPr>
          <w:sz w:val="20"/>
          <w:szCs w:val="20"/>
          <w:color w:val="auto"/>
        </w:rPr>
      </w:pPr>
    </w:p>
    <w:p>
      <w:pPr>
        <w:jc w:val="center"/>
        <w:ind w:right="6820"/>
        <w:spacing w:after="0"/>
        <w:rPr>
          <w:sz w:val="20"/>
          <w:szCs w:val="20"/>
          <w:color w:val="auto"/>
        </w:rPr>
      </w:pPr>
      <w:r>
        <w:rPr>
          <w:rFonts w:ascii="Times New Roman" w:cs="Times New Roman" w:eastAsia="Times New Roman" w:hAnsi="Times New Roman"/>
          <w:sz w:val="16"/>
          <w:szCs w:val="16"/>
          <w:b w:val="1"/>
          <w:bCs w:val="1"/>
          <w:color w:val="999999"/>
        </w:rPr>
        <w:t>гр. София</w:t>
      </w:r>
    </w:p>
    <w:p>
      <w:pPr>
        <w:sectPr>
          <w:pgSz w:w="11920" w:h="16850" w:orient="portrait"/>
          <w:cols w:equalWidth="0" w:num="1">
            <w:col w:w="10340"/>
          </w:cols>
          <w:pgMar w:left="1000" w:top="376" w:right="571" w:bottom="0" w:gutter="0" w:footer="0" w:header="0"/>
          <w:type w:val="continuous"/>
        </w:sectPr>
      </w:pPr>
    </w:p>
    <w:p>
      <w:pPr>
        <w:jc w:val="both"/>
        <w:ind w:left="9"/>
        <w:spacing w:after="0" w:line="255" w:lineRule="auto"/>
        <w:rPr>
          <w:sz w:val="20"/>
          <w:szCs w:val="20"/>
          <w:color w:val="auto"/>
        </w:rPr>
      </w:pPr>
      <w:r>
        <w:rPr>
          <w:rFonts w:ascii="Times New Roman" w:cs="Times New Roman" w:eastAsia="Times New Roman" w:hAnsi="Times New Roman"/>
          <w:sz w:val="20"/>
          <w:szCs w:val="20"/>
          <w:b w:val="1"/>
          <w:bCs w:val="1"/>
          <w:color w:val="auto"/>
        </w:rPr>
        <w:t xml:space="preserve">ПРЕДЛОЖЕНИЕ ЗА УПРАВЛЕНИЕ НА МИННИТЕ ОТПАДЪЦИ при осъществяване на инвестиционно предложение: „Добив на подземни богатства – индустриални минерали - глауконитови пясъчници от находище </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b w:val="1"/>
          <w:bCs w:val="1"/>
          <w:color w:val="auto"/>
        </w:rPr>
        <w:t>ГЛОРИЯ</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b w:val="1"/>
          <w:bCs w:val="1"/>
          <w:color w:val="auto"/>
        </w:rPr>
        <w:t>,</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разположено в землищата на с.</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Мало Пещене и с.</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Голямо Пещене,</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община Враца,</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област Враца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-6985</wp:posOffset>
                </wp:positionH>
                <wp:positionV relativeFrom="paragraph">
                  <wp:posOffset>15875</wp:posOffset>
                </wp:positionV>
                <wp:extent cx="6552565" cy="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52565" cy="4763"/>
                        </a:xfrm>
                        <a:prstGeom prst="line">
                          <a:avLst/>
                        </a:prstGeom>
                        <a:solidFill>
                          <a:srgbClr val="FFFFFF"/>
                        </a:solidFill>
                        <a:ln w="9525">
                          <a:solidFill>
                            <a:srgbClr val="969696"/>
                          </a:solidFill>
                          <a:miter lim="800000"/>
                          <a:headEnd/>
                          <a:tailEnd/>
                        </a:ln>
                      </wps:spPr>
                      <wps:bodyPr/>
                    </wps:wsp>
                  </a:graphicData>
                </a:graphic>
              </wp:anchor>
            </w:drawing>
          </mc:Choice>
          <mc:Fallback>
            <w:pict>
              <v:line id="Shape 22" o:spid="_x0000_s10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499pt,1.25pt" to="515.4pt,1.25pt" o:allowincell="f" strokecolor="#969696" strokeweight="0.75pt"/>
            </w:pict>
          </mc:Fallback>
        </mc:AlternateContent>
        <mc:AlternateContent>
          <mc:Choice Requires="wps">
            <w:drawing>
              <wp:anchor simplePos="0" relativeHeight="251657728" behindDoc="1" locked="0" layoutInCell="0" allowOverlap="1">
                <wp:simplePos x="0" y="0"/>
                <wp:positionH relativeFrom="column">
                  <wp:posOffset>-74295</wp:posOffset>
                </wp:positionH>
                <wp:positionV relativeFrom="paragraph">
                  <wp:posOffset>130175</wp:posOffset>
                </wp:positionV>
                <wp:extent cx="6721475" cy="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72147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3" o:spid="_x0000_s104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8499pt,10.25pt" to="523.4pt,10.2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-74295</wp:posOffset>
                </wp:positionH>
                <wp:positionV relativeFrom="paragraph">
                  <wp:posOffset>513080</wp:posOffset>
                </wp:positionV>
                <wp:extent cx="6721475" cy="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721475" cy="4763"/>
                        </a:xfrm>
                        <a:prstGeom prst="line">
                          <a:avLst/>
                        </a:prstGeom>
                        <a:solidFill>
                          <a:srgbClr val="FFFFFF"/>
                        </a:solidFill>
                        <a:ln w="6108">
                          <a:solidFill>
                            <a:srgbClr val="000000"/>
                          </a:solidFill>
                          <a:miter lim="800000"/>
                          <a:headEnd/>
                          <a:tailEnd/>
                        </a:ln>
                      </wps:spPr>
                      <wps:bodyPr/>
                    </wps:wsp>
                  </a:graphicData>
                </a:graphic>
              </wp:anchor>
            </w:drawing>
          </mc:Choice>
          <mc:Fallback>
            <w:pict>
              <v:line id="Shape 24" o:spid="_x0000_s10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8499pt,40.4pt" to="523.4pt,40.4pt" o:allowincell="f" strokecolor="#000000" strokeweight="0.4809pt"/>
            </w:pict>
          </mc:Fallback>
        </mc:AlternateContent>
        <mc:AlternateContent>
          <mc:Choice Requires="wps">
            <w:drawing>
              <wp:anchor simplePos="0" relativeHeight="251657728" behindDoc="1" locked="0" layoutInCell="0" allowOverlap="1">
                <wp:simplePos x="0" y="0"/>
                <wp:positionH relativeFrom="column">
                  <wp:posOffset>-71120</wp:posOffset>
                </wp:positionH>
                <wp:positionV relativeFrom="paragraph">
                  <wp:posOffset>127000</wp:posOffset>
                </wp:positionV>
                <wp:extent cx="0" cy="38862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88620"/>
                        </a:xfrm>
                        <a:prstGeom prst="line">
                          <a:avLst/>
                        </a:prstGeom>
                        <a:solidFill>
                          <a:srgbClr val="FFFFFF"/>
                        </a:solidFill>
                        <a:ln w="6108">
                          <a:solidFill>
                            <a:srgbClr val="000000"/>
                          </a:solidFill>
                          <a:miter lim="800000"/>
                          <a:headEnd/>
                          <a:tailEnd/>
                        </a:ln>
                      </wps:spPr>
                      <wps:bodyPr/>
                    </wps:wsp>
                  </a:graphicData>
                </a:graphic>
              </wp:anchor>
            </w:drawing>
          </mc:Choice>
          <mc:Fallback>
            <w:pict>
              <v:line id="Shape 25" o:spid="_x0000_s10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10pt" to="-5.5999pt,40.6pt" o:allowincell="f" strokecolor="#000000" strokeweight="0.4809pt"/>
            </w:pict>
          </mc:Fallback>
        </mc:AlternateContent>
        <mc:AlternateContent>
          <mc:Choice Requires="wps">
            <w:drawing>
              <wp:anchor simplePos="0" relativeHeight="251657728" behindDoc="1" locked="0" layoutInCell="0" allowOverlap="1">
                <wp:simplePos x="0" y="0"/>
                <wp:positionH relativeFrom="column">
                  <wp:posOffset>6644640</wp:posOffset>
                </wp:positionH>
                <wp:positionV relativeFrom="paragraph">
                  <wp:posOffset>127000</wp:posOffset>
                </wp:positionV>
                <wp:extent cx="0" cy="38862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88620"/>
                        </a:xfrm>
                        <a:prstGeom prst="line">
                          <a:avLst/>
                        </a:prstGeom>
                        <a:solidFill>
                          <a:srgbClr val="FFFFFF"/>
                        </a:solidFill>
                        <a:ln w="6108">
                          <a:solidFill>
                            <a:srgbClr val="000000"/>
                          </a:solidFill>
                          <a:miter lim="800000"/>
                          <a:headEnd/>
                          <a:tailEnd/>
                        </a:ln>
                      </wps:spPr>
                      <wps:bodyPr/>
                    </wps:wsp>
                  </a:graphicData>
                </a:graphic>
              </wp:anchor>
            </w:drawing>
          </mc:Choice>
          <mc:Fallback>
            <w:pict>
              <v:line id="Shape 26" o:spid="_x0000_s10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23.2pt,10pt" to="523.2pt,40.6pt" o:allowincell="f" strokecolor="#000000" strokeweight="0.4809pt"/>
            </w:pict>
          </mc:Fallback>
        </mc:AlternateContent>
      </w:r>
    </w:p>
    <w:p>
      <w:pPr>
        <w:spacing w:after="0" w:line="187" w:lineRule="exact"/>
        <w:rPr>
          <w:sz w:val="20"/>
          <w:szCs w:val="20"/>
          <w:color w:val="auto"/>
        </w:rPr>
      </w:pPr>
    </w:p>
    <w:p>
      <w:pPr>
        <w:ind w:left="9" w:firstLine="558"/>
        <w:spacing w:after="0" w:line="278" w:lineRule="auto"/>
        <w:tabs>
          <w:tab w:leader="none" w:pos="1046" w:val="left"/>
        </w:tabs>
        <w:numPr>
          <w:ilvl w:val="0"/>
          <w:numId w:val="8"/>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color w:val="auto"/>
        </w:rPr>
        <w:t>ХАРАКТЕРИСТИКА И КЛАСИФИКАЦИЯ НА МИННИТЕ ОТПАДЪЦИ. ПРОГНОЗНО КОЛИЧЕСТВО</w:t>
      </w:r>
    </w:p>
    <w:p>
      <w:pPr>
        <w:spacing w:after="0" w:line="60" w:lineRule="exact"/>
        <w:rPr>
          <w:sz w:val="20"/>
          <w:szCs w:val="20"/>
          <w:color w:val="auto"/>
        </w:rPr>
      </w:pPr>
    </w:p>
    <w:p>
      <w:pPr>
        <w:ind w:left="569"/>
        <w:spacing w:after="0"/>
        <w:rPr>
          <w:sz w:val="20"/>
          <w:szCs w:val="20"/>
          <w:color w:val="auto"/>
        </w:rPr>
      </w:pPr>
      <w:r>
        <w:rPr>
          <w:rFonts w:ascii="Times New Roman" w:cs="Times New Roman" w:eastAsia="Times New Roman" w:hAnsi="Times New Roman"/>
          <w:sz w:val="24"/>
          <w:szCs w:val="24"/>
          <w:b w:val="1"/>
          <w:bCs w:val="1"/>
          <w:i w:val="1"/>
          <w:iCs w:val="1"/>
          <w:color w:val="auto"/>
        </w:rPr>
        <w:t>3.1 Обща информация за находище „Глория“</w:t>
      </w:r>
    </w:p>
    <w:p>
      <w:pPr>
        <w:spacing w:after="0" w:line="120" w:lineRule="exact"/>
        <w:rPr>
          <w:sz w:val="20"/>
          <w:szCs w:val="20"/>
          <w:color w:val="auto"/>
        </w:rPr>
      </w:pPr>
    </w:p>
    <w:p>
      <w:pPr>
        <w:ind w:left="569"/>
        <w:spacing w:after="0"/>
        <w:rPr>
          <w:sz w:val="20"/>
          <w:szCs w:val="20"/>
          <w:color w:val="auto"/>
        </w:rPr>
      </w:pPr>
      <w:r>
        <w:rPr>
          <w:rFonts w:ascii="Times New Roman" w:cs="Times New Roman" w:eastAsia="Times New Roman" w:hAnsi="Times New Roman"/>
          <w:sz w:val="24"/>
          <w:szCs w:val="24"/>
          <w:b w:val="1"/>
          <w:bCs w:val="1"/>
          <w:i w:val="1"/>
          <w:iCs w:val="1"/>
          <w:color w:val="auto"/>
        </w:rPr>
        <w:t>3.1.1 Геологопроучвателна дейност</w:t>
      </w:r>
    </w:p>
    <w:p>
      <w:pPr>
        <w:spacing w:after="0" w:line="1" w:lineRule="exact"/>
        <w:rPr>
          <w:sz w:val="20"/>
          <w:szCs w:val="20"/>
          <w:color w:val="auto"/>
        </w:rPr>
      </w:pPr>
    </w:p>
    <w:p>
      <w:pPr>
        <w:jc w:val="both"/>
        <w:ind w:left="9" w:firstLine="558"/>
        <w:spacing w:after="0"/>
        <w:tabs>
          <w:tab w:leader="none" w:pos="834" w:val="left"/>
        </w:tabs>
        <w:numPr>
          <w:ilvl w:val="1"/>
          <w:numId w:val="9"/>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резултат на проведените комплексни търсещо-оценъчни и детайлни геологопроучвателни работи в обсега на площ „Глория” е установено и детайлно проучено ново находище на нерудни полезни изкопаеми – индустриален тип минерална суровина (глауконитови пясъчници), изходен продукт за производство на естествени минерални торове за селското стопанство.</w:t>
      </w:r>
    </w:p>
    <w:p>
      <w:pPr>
        <w:ind w:left="9" w:firstLine="566"/>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Площта на контура на запасите в хоризонтална проекция възлиза на 519 032 m2 и е ограничен от 20 крайни гранични точки в координатна система „1970 г”.</w:t>
      </w:r>
    </w:p>
    <w:p>
      <w:pPr>
        <w:jc w:val="both"/>
        <w:ind w:left="9" w:firstLine="566"/>
        <w:spacing w:after="0" w:line="205"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 xml:space="preserve">Проектната концесионна площ, необходима за реализиране на инвестиционното предложение, възлиза на </w:t>
      </w:r>
      <w:r>
        <w:rPr>
          <w:rFonts w:ascii="Times New Roman" w:cs="Times New Roman" w:eastAsia="Times New Roman" w:hAnsi="Times New Roman"/>
          <w:sz w:val="24"/>
          <w:szCs w:val="24"/>
          <w:b w:val="1"/>
          <w:bCs w:val="1"/>
          <w:color w:val="auto"/>
        </w:rPr>
        <w:t>617 080 m</w:t>
      </w:r>
      <w:r>
        <w:rPr>
          <w:rFonts w:ascii="Times New Roman" w:cs="Times New Roman" w:eastAsia="Times New Roman" w:hAnsi="Times New Roman"/>
          <w:sz w:val="32"/>
          <w:szCs w:val="32"/>
          <w:b w:val="1"/>
          <w:bCs w:val="1"/>
          <w:color w:val="auto"/>
          <w:vertAlign w:val="superscript"/>
        </w:rPr>
        <w:t>2</w:t>
      </w:r>
      <w:r>
        <w:rPr>
          <w:rFonts w:ascii="Times New Roman" w:cs="Times New Roman" w:eastAsia="Times New Roman" w:hAnsi="Times New Roman"/>
          <w:sz w:val="24"/>
          <w:szCs w:val="24"/>
          <w:color w:val="auto"/>
        </w:rPr>
        <w:t>. Тази площ включва площта на утвърдените запаси на находище „ГЛОРИЯ”</w:t>
      </w:r>
    </w:p>
    <w:p>
      <w:pPr>
        <w:spacing w:after="0" w:line="1" w:lineRule="exact"/>
        <w:rPr>
          <w:rFonts w:ascii="Times New Roman" w:cs="Times New Roman" w:eastAsia="Times New Roman" w:hAnsi="Times New Roman"/>
          <w:sz w:val="24"/>
          <w:szCs w:val="24"/>
          <w:color w:val="auto"/>
        </w:rPr>
      </w:pPr>
    </w:p>
    <w:p>
      <w:pPr>
        <w:jc w:val="both"/>
        <w:ind w:left="9" w:hanging="9"/>
        <w:spacing w:after="0"/>
        <w:tabs>
          <w:tab w:leader="none" w:pos="258" w:val="left"/>
        </w:tabs>
        <w:numPr>
          <w:ilvl w:val="0"/>
          <w:numId w:val="9"/>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необходимите прилежащи площи за берми, генерален откос на кариерата, временни депа за почвен слой и откривка, административно-битова площадка, кантар, мобилна ТСИ. Концесионния контур е ограничен от 20 крайни гранични точки с координати.</w:t>
      </w:r>
    </w:p>
    <w:p>
      <w:pPr>
        <w:jc w:val="both"/>
        <w:ind w:left="9" w:firstLine="558"/>
        <w:spacing w:after="0" w:line="239" w:lineRule="auto"/>
        <w:tabs>
          <w:tab w:leader="none" w:pos="894" w:val="left"/>
        </w:tabs>
        <w:numPr>
          <w:ilvl w:val="1"/>
          <w:numId w:val="9"/>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 xml:space="preserve">геоложкия строеж на новопроученото находище „Глория” участвуват долнокредните (албски) скали на </w:t>
      </w:r>
      <w:r>
        <w:rPr>
          <w:rFonts w:ascii="Times New Roman" w:cs="Times New Roman" w:eastAsia="Times New Roman" w:hAnsi="Times New Roman"/>
          <w:sz w:val="24"/>
          <w:szCs w:val="24"/>
          <w:b w:val="1"/>
          <w:bCs w:val="1"/>
          <w:color w:val="auto"/>
        </w:rPr>
        <w:t>Малопещенската свита</w:t>
      </w:r>
      <w:r>
        <w:rPr>
          <w:rFonts w:ascii="Times New Roman" w:cs="Times New Roman" w:eastAsia="Times New Roman" w:hAnsi="Times New Roman"/>
          <w:sz w:val="24"/>
          <w:szCs w:val="24"/>
          <w:color w:val="auto"/>
        </w:rPr>
        <w:t>, представени от много характерните светлозелени и тъмнозелени до сиви глауконитови пясъчници и малка съвременна кватернерна покривка от еолично-алувиално-делувиални отложения</w:t>
      </w:r>
    </w:p>
    <w:p>
      <w:pPr>
        <w:ind w:left="569"/>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b w:val="1"/>
          <w:bCs w:val="1"/>
          <w:color w:val="auto"/>
        </w:rPr>
        <w:t xml:space="preserve">Проучените глауконитови пясъчници </w:t>
      </w:r>
      <w:r>
        <w:rPr>
          <w:rFonts w:ascii="Times New Roman" w:cs="Times New Roman" w:eastAsia="Times New Roman" w:hAnsi="Times New Roman"/>
          <w:sz w:val="24"/>
          <w:szCs w:val="24"/>
          <w:color w:val="auto"/>
        </w:rPr>
        <w:t>в находище</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„Глория”</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са с дебелина не по-малко от</w:t>
      </w:r>
    </w:p>
    <w:p>
      <w:pPr>
        <w:spacing w:after="0" w:line="4" w:lineRule="exact"/>
        <w:rPr>
          <w:rFonts w:ascii="Times New Roman" w:cs="Times New Roman" w:eastAsia="Times New Roman" w:hAnsi="Times New Roman"/>
          <w:sz w:val="24"/>
          <w:szCs w:val="24"/>
          <w:color w:val="auto"/>
        </w:rPr>
      </w:pPr>
    </w:p>
    <w:p>
      <w:pPr>
        <w:ind w:left="9"/>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40-45 m и могат да се разграничат в два хоризонта:</w:t>
      </w:r>
    </w:p>
    <w:p>
      <w:pPr>
        <w:ind w:left="9" w:firstLine="566"/>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b w:val="1"/>
          <w:bCs w:val="1"/>
          <w:color w:val="auto"/>
        </w:rPr>
        <w:t>Горен</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изграден от глауконитови пясъчници с много характерен светлозелен до тревисто</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зелен цвят.</w:t>
      </w:r>
    </w:p>
    <w:p>
      <w:pPr>
        <w:ind w:left="9" w:firstLine="566"/>
        <w:spacing w:after="0" w:line="238"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b w:val="1"/>
          <w:bCs w:val="1"/>
          <w:color w:val="auto"/>
        </w:rPr>
        <w:t xml:space="preserve">Долен </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изграден от сравнително по-плътни пластове от глауконитови пясъчници с</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тъмнозелен до сив цвят.</w:t>
      </w:r>
    </w:p>
    <w:p>
      <w:pPr>
        <w:jc w:val="both"/>
        <w:ind w:left="9" w:firstLine="566"/>
        <w:spacing w:after="0" w:line="227"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b w:val="1"/>
          <w:bCs w:val="1"/>
          <w:color w:val="auto"/>
        </w:rPr>
        <w:t>Горният хоризонт (I</w:t>
      </w:r>
      <w:r>
        <w:rPr>
          <w:rFonts w:ascii="Times New Roman" w:cs="Times New Roman" w:eastAsia="Times New Roman" w:hAnsi="Times New Roman"/>
          <w:sz w:val="32"/>
          <w:szCs w:val="32"/>
          <w:b w:val="1"/>
          <w:bCs w:val="1"/>
          <w:color w:val="auto"/>
          <w:vertAlign w:val="superscript"/>
        </w:rPr>
        <w:t>-ви</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е изграден от доминиращо средно и едрозърнести глауконитови</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пясъчници със светлозелен до тревисто зелен цвят с глинесто-глауконитова спойка на пясъчниковия субстрат. В редица участъци сред глауконитовите пясъчници се наблюдават многобройни по-големи или по-малки фосилни фрагменти, а както и цели много добре запазени екземпляри от амонити. Дебелината на този хоризонт е около 20 m, а преходът между първи и втори хоризонт е постепенен.</w:t>
      </w:r>
    </w:p>
    <w:p>
      <w:pPr>
        <w:spacing w:after="0" w:line="1" w:lineRule="exact"/>
        <w:rPr>
          <w:rFonts w:ascii="Times New Roman" w:cs="Times New Roman" w:eastAsia="Times New Roman" w:hAnsi="Times New Roman"/>
          <w:sz w:val="24"/>
          <w:szCs w:val="24"/>
          <w:color w:val="auto"/>
        </w:rPr>
      </w:pPr>
    </w:p>
    <w:p>
      <w:pPr>
        <w:jc w:val="both"/>
        <w:ind w:left="9" w:firstLine="566"/>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b w:val="1"/>
          <w:bCs w:val="1"/>
          <w:i w:val="1"/>
          <w:iCs w:val="1"/>
          <w:color w:val="auto"/>
        </w:rPr>
        <w:t xml:space="preserve">Макроскопски </w:t>
      </w:r>
      <w:r>
        <w:rPr>
          <w:rFonts w:ascii="Times New Roman" w:cs="Times New Roman" w:eastAsia="Times New Roman" w:hAnsi="Times New Roman"/>
          <w:sz w:val="24"/>
          <w:szCs w:val="24"/>
          <w:color w:val="auto"/>
        </w:rPr>
        <w:t>скалата е плътна,</w:t>
      </w:r>
      <w:r>
        <w:rPr>
          <w:rFonts w:ascii="Times New Roman" w:cs="Times New Roman" w:eastAsia="Times New Roman" w:hAnsi="Times New Roman"/>
          <w:sz w:val="24"/>
          <w:szCs w:val="24"/>
          <w:b w:val="1"/>
          <w:bCs w:val="1"/>
          <w:i w:val="1"/>
          <w:iCs w:val="1"/>
          <w:color w:val="auto"/>
        </w:rPr>
        <w:t xml:space="preserve"> </w:t>
      </w:r>
      <w:r>
        <w:rPr>
          <w:rFonts w:ascii="Times New Roman" w:cs="Times New Roman" w:eastAsia="Times New Roman" w:hAnsi="Times New Roman"/>
          <w:sz w:val="24"/>
          <w:szCs w:val="24"/>
          <w:color w:val="auto"/>
        </w:rPr>
        <w:t>зелена до тревистозелена,</w:t>
      </w:r>
      <w:r>
        <w:rPr>
          <w:rFonts w:ascii="Times New Roman" w:cs="Times New Roman" w:eastAsia="Times New Roman" w:hAnsi="Times New Roman"/>
          <w:sz w:val="24"/>
          <w:szCs w:val="24"/>
          <w:b w:val="1"/>
          <w:bCs w:val="1"/>
          <w:i w:val="1"/>
          <w:iCs w:val="1"/>
          <w:color w:val="auto"/>
        </w:rPr>
        <w:t xml:space="preserve"> </w:t>
      </w:r>
      <w:r>
        <w:rPr>
          <w:rFonts w:ascii="Times New Roman" w:cs="Times New Roman" w:eastAsia="Times New Roman" w:hAnsi="Times New Roman"/>
          <w:sz w:val="24"/>
          <w:szCs w:val="24"/>
          <w:color w:val="auto"/>
        </w:rPr>
        <w:t>едро-грубозърнеста с неравен</w:t>
      </w:r>
      <w:r>
        <w:rPr>
          <w:rFonts w:ascii="Times New Roman" w:cs="Times New Roman" w:eastAsia="Times New Roman" w:hAnsi="Times New Roman"/>
          <w:sz w:val="24"/>
          <w:szCs w:val="24"/>
          <w:b w:val="1"/>
          <w:bCs w:val="1"/>
          <w:i w:val="1"/>
          <w:iCs w:val="1"/>
          <w:color w:val="auto"/>
        </w:rPr>
        <w:t xml:space="preserve"> </w:t>
      </w:r>
      <w:r>
        <w:rPr>
          <w:rFonts w:ascii="Times New Roman" w:cs="Times New Roman" w:eastAsia="Times New Roman" w:hAnsi="Times New Roman"/>
          <w:sz w:val="24"/>
          <w:szCs w:val="24"/>
          <w:color w:val="auto"/>
        </w:rPr>
        <w:t>зърнест лом. На отрязана повърхнина сред тъмнозелената основна маса се наблюдават сравнително равномерно разпределени бели до светлосивкави зърна. Реагира много слабо на солна кисилина. Текстурата на скалата е масивна, а структурата – псамитова, хетерозърнеста.</w:t>
      </w:r>
    </w:p>
    <w:p>
      <w:pPr>
        <w:spacing w:after="0" w:line="1" w:lineRule="exact"/>
        <w:rPr>
          <w:rFonts w:ascii="Times New Roman" w:cs="Times New Roman" w:eastAsia="Times New Roman" w:hAnsi="Times New Roman"/>
          <w:sz w:val="24"/>
          <w:szCs w:val="24"/>
          <w:color w:val="auto"/>
        </w:rPr>
      </w:pPr>
    </w:p>
    <w:p>
      <w:pPr>
        <w:jc w:val="both"/>
        <w:ind w:left="9" w:firstLine="566"/>
        <w:spacing w:after="0" w:line="217"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b w:val="1"/>
          <w:bCs w:val="1"/>
          <w:color w:val="auto"/>
        </w:rPr>
        <w:t>Долният хоризонт (II</w:t>
      </w:r>
      <w:r>
        <w:rPr>
          <w:rFonts w:ascii="Times New Roman" w:cs="Times New Roman" w:eastAsia="Times New Roman" w:hAnsi="Times New Roman"/>
          <w:sz w:val="32"/>
          <w:szCs w:val="32"/>
          <w:b w:val="1"/>
          <w:bCs w:val="1"/>
          <w:color w:val="auto"/>
          <w:vertAlign w:val="superscript"/>
        </w:rPr>
        <w:t>-ри</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е изграден от сравнително по-масивни и по-плътни среднозърнести</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глауконитови пясъчници с характерен тъмнозелен до сивозелен цвят, на места прослоени от дребнозърнести и по-глинести слоеве от глауконитови пясъчници и аргилити.</w:t>
      </w:r>
    </w:p>
    <w:p>
      <w:pPr>
        <w:ind w:left="569"/>
        <w:spacing w:after="0" w:line="234"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Дебелината на този хоризонт е не по-малко от 20-25 m.</w:t>
      </w:r>
    </w:p>
    <w:p>
      <w:pPr>
        <w:jc w:val="both"/>
        <w:ind w:left="9" w:firstLine="566"/>
        <w:spacing w:after="0" w:line="216"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b w:val="1"/>
          <w:bCs w:val="1"/>
          <w:i w:val="1"/>
          <w:iCs w:val="1"/>
          <w:color w:val="auto"/>
        </w:rPr>
        <w:t xml:space="preserve">Макроскопски </w:t>
      </w:r>
      <w:r>
        <w:rPr>
          <w:rFonts w:ascii="Times New Roman" w:cs="Times New Roman" w:eastAsia="Times New Roman" w:hAnsi="Times New Roman"/>
          <w:sz w:val="24"/>
          <w:szCs w:val="24"/>
          <w:color w:val="auto"/>
        </w:rPr>
        <w:t>глауконитовите пясъчници от</w:t>
      </w:r>
      <w:r>
        <w:rPr>
          <w:rFonts w:ascii="Times New Roman" w:cs="Times New Roman" w:eastAsia="Times New Roman" w:hAnsi="Times New Roman"/>
          <w:sz w:val="24"/>
          <w:szCs w:val="24"/>
          <w:b w:val="1"/>
          <w:bCs w:val="1"/>
          <w:i w:val="1"/>
          <w:iCs w:val="1"/>
          <w:color w:val="auto"/>
        </w:rPr>
        <w:t xml:space="preserve"> </w:t>
      </w:r>
      <w:r>
        <w:rPr>
          <w:rFonts w:ascii="Times New Roman" w:cs="Times New Roman" w:eastAsia="Times New Roman" w:hAnsi="Times New Roman"/>
          <w:sz w:val="24"/>
          <w:szCs w:val="24"/>
          <w:color w:val="auto"/>
        </w:rPr>
        <w:t>II</w:t>
      </w:r>
      <w:r>
        <w:rPr>
          <w:rFonts w:ascii="Times New Roman" w:cs="Times New Roman" w:eastAsia="Times New Roman" w:hAnsi="Times New Roman"/>
          <w:sz w:val="32"/>
          <w:szCs w:val="32"/>
          <w:color w:val="auto"/>
          <w:vertAlign w:val="superscript"/>
        </w:rPr>
        <w:t>-ри</w:t>
      </w:r>
      <w:r>
        <w:rPr>
          <w:rFonts w:ascii="Times New Roman" w:cs="Times New Roman" w:eastAsia="Times New Roman" w:hAnsi="Times New Roman"/>
          <w:sz w:val="24"/>
          <w:szCs w:val="24"/>
          <w:b w:val="1"/>
          <w:bCs w:val="1"/>
          <w:i w:val="1"/>
          <w:iCs w:val="1"/>
          <w:color w:val="auto"/>
        </w:rPr>
        <w:t xml:space="preserve"> </w:t>
      </w:r>
      <w:r>
        <w:rPr>
          <w:rFonts w:ascii="Times New Roman" w:cs="Times New Roman" w:eastAsia="Times New Roman" w:hAnsi="Times New Roman"/>
          <w:sz w:val="24"/>
          <w:szCs w:val="24"/>
          <w:color w:val="auto"/>
        </w:rPr>
        <w:t>хоризонт са по-плътни,</w:t>
      </w:r>
      <w:r>
        <w:rPr>
          <w:rFonts w:ascii="Times New Roman" w:cs="Times New Roman" w:eastAsia="Times New Roman" w:hAnsi="Times New Roman"/>
          <w:sz w:val="24"/>
          <w:szCs w:val="24"/>
          <w:b w:val="1"/>
          <w:bCs w:val="1"/>
          <w:i w:val="1"/>
          <w:iCs w:val="1"/>
          <w:color w:val="auto"/>
        </w:rPr>
        <w:t xml:space="preserve"> </w:t>
      </w:r>
      <w:r>
        <w:rPr>
          <w:rFonts w:ascii="Times New Roman" w:cs="Times New Roman" w:eastAsia="Times New Roman" w:hAnsi="Times New Roman"/>
          <w:sz w:val="24"/>
          <w:szCs w:val="24"/>
          <w:color w:val="auto"/>
        </w:rPr>
        <w:t>здрави,</w:t>
      </w:r>
      <w:r>
        <w:rPr>
          <w:rFonts w:ascii="Times New Roman" w:cs="Times New Roman" w:eastAsia="Times New Roman" w:hAnsi="Times New Roman"/>
          <w:sz w:val="24"/>
          <w:szCs w:val="24"/>
          <w:b w:val="1"/>
          <w:bCs w:val="1"/>
          <w:i w:val="1"/>
          <w:iCs w:val="1"/>
          <w:color w:val="auto"/>
        </w:rPr>
        <w:t xml:space="preserve"> </w:t>
      </w:r>
      <w:r>
        <w:rPr>
          <w:rFonts w:ascii="Times New Roman" w:cs="Times New Roman" w:eastAsia="Times New Roman" w:hAnsi="Times New Roman"/>
          <w:sz w:val="24"/>
          <w:szCs w:val="24"/>
          <w:color w:val="auto"/>
        </w:rPr>
        <w:t>едрозърнести и с по-масивна текстура. Цветът им е в по-тъмните гами от тъмнозелено до сивозелено. Реагират слабо със солна киселина. Cтруктурата им е псамитова, хетерозърнеста.</w:t>
      </w:r>
    </w:p>
    <w:p>
      <w:pPr>
        <w:spacing w:after="0" w:line="2" w:lineRule="exact"/>
        <w:rPr>
          <w:rFonts w:ascii="Times New Roman" w:cs="Times New Roman" w:eastAsia="Times New Roman" w:hAnsi="Times New Roman"/>
          <w:sz w:val="24"/>
          <w:szCs w:val="24"/>
          <w:color w:val="auto"/>
        </w:rPr>
      </w:pPr>
    </w:p>
    <w:p>
      <w:pPr>
        <w:jc w:val="both"/>
        <w:ind w:left="9" w:firstLine="566"/>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i w:val="1"/>
          <w:iCs w:val="1"/>
          <w:color w:val="auto"/>
        </w:rPr>
        <w:t xml:space="preserve">Покривката в находище „Глория” </w:t>
      </w:r>
      <w:r>
        <w:rPr>
          <w:rFonts w:ascii="Times New Roman" w:cs="Times New Roman" w:eastAsia="Times New Roman" w:hAnsi="Times New Roman"/>
          <w:sz w:val="24"/>
          <w:szCs w:val="24"/>
          <w:color w:val="auto"/>
        </w:rPr>
        <w:t>е представена от еолично-алувиално-делувиални</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(кватернерни) отложения. В строежа на тази тънка кватернерна покривка от еолично-алувиално-делувиални отложения преобладава преотложен льос и песъчливи леко варовити глини на места с повече или по-малко късове от подложката – екзогенно променени късове от пясъчници и варовици.</w:t>
      </w:r>
    </w:p>
    <w:p>
      <w:pPr>
        <w:spacing w:after="0" w:line="3" w:lineRule="exact"/>
        <w:rPr>
          <w:rFonts w:ascii="Times New Roman" w:cs="Times New Roman" w:eastAsia="Times New Roman" w:hAnsi="Times New Roman"/>
          <w:sz w:val="24"/>
          <w:szCs w:val="24"/>
          <w:color w:val="auto"/>
        </w:rPr>
      </w:pPr>
    </w:p>
    <w:p>
      <w:pPr>
        <w:ind w:left="9" w:firstLine="566"/>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Дебелината на покривката е най-значима в билните части на терена, обхващащи главно централните и източните окрайнини на находището, където достига до 3-4 и повече метра.</w:t>
      </w:r>
    </w:p>
    <w:p>
      <w:pPr>
        <w:jc w:val="both"/>
        <w:ind w:left="9" w:firstLine="558"/>
        <w:spacing w:after="0" w:line="256" w:lineRule="auto"/>
        <w:tabs>
          <w:tab w:leader="none" w:pos="796" w:val="left"/>
        </w:tabs>
        <w:numPr>
          <w:ilvl w:val="1"/>
          <w:numId w:val="9"/>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западната част на находището тази покривка е по-малка – 1-2 m. По-протежение на някои от по-стръмните дерета близо до с. Мало Пещене тези льосови образувания са изцяло отмити и на съвременния терен се наблюдават много добре разкрития на тревисто зелени глауконитови</w:t>
      </w:r>
    </w:p>
    <w:p>
      <w:pPr>
        <w:spacing w:after="0" w:line="118" w:lineRule="exact"/>
        <w:rPr>
          <w:sz w:val="20"/>
          <w:szCs w:val="20"/>
          <w:color w:val="auto"/>
        </w:rPr>
      </w:pPr>
    </w:p>
    <w:p>
      <w:pPr>
        <w:ind w:left="10209"/>
        <w:spacing w:after="0"/>
        <w:rPr>
          <w:sz w:val="20"/>
          <w:szCs w:val="20"/>
          <w:color w:val="auto"/>
        </w:rPr>
      </w:pPr>
      <w:r>
        <w:rPr>
          <w:rFonts w:ascii="Times New Roman" w:cs="Times New Roman" w:eastAsia="Times New Roman" w:hAnsi="Times New Roman"/>
          <w:sz w:val="20"/>
          <w:szCs w:val="20"/>
          <w:color w:val="auto"/>
        </w:rPr>
        <w:t>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-60325</wp:posOffset>
            </wp:positionV>
            <wp:extent cx="6438900" cy="2857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extLst>
                    </a:blip>
                    <a:srcRect/>
                    <a:stretch>
                      <a:fillRect/>
                    </a:stretch>
                  </pic:blipFill>
                  <pic:spPr bwMode="auto">
                    <a:xfrm>
                      <a:off x="0" y="0"/>
                      <a:ext cx="6438900" cy="28575"/>
                    </a:xfrm>
                    <a:prstGeom prst="rect">
                      <a:avLst/>
                    </a:prstGeom>
                    <a:noFill/>
                  </pic:spPr>
                </pic:pic>
              </a:graphicData>
            </a:graphic>
          </wp:anchor>
        </w:drawing>
      </w:r>
    </w:p>
    <w:p>
      <w:pPr>
        <w:sectPr>
          <w:pgSz w:w="11920" w:h="16850" w:orient="portrait"/>
          <w:cols w:equalWidth="0" w:num="1">
            <w:col w:w="10349"/>
          </w:cols>
          <w:pgMar w:left="991" w:top="376" w:right="571" w:bottom="0" w:gutter="0" w:footer="0" w:header="0"/>
        </w:sectPr>
      </w:pPr>
    </w:p>
    <w:p>
      <w:pPr>
        <w:spacing w:after="0" w:line="2" w:lineRule="exact"/>
        <w:rPr>
          <w:sz w:val="20"/>
          <w:szCs w:val="20"/>
          <w:color w:val="auto"/>
        </w:rPr>
      </w:pPr>
    </w:p>
    <w:p>
      <w:pPr>
        <w:jc w:val="center"/>
        <w:ind w:right="6691"/>
        <w:spacing w:after="0"/>
        <w:rPr>
          <w:sz w:val="20"/>
          <w:szCs w:val="20"/>
          <w:color w:val="auto"/>
        </w:rPr>
      </w:pPr>
      <w:r>
        <w:rPr>
          <w:rFonts w:ascii="Times New Roman" w:cs="Times New Roman" w:eastAsia="Times New Roman" w:hAnsi="Times New Roman"/>
          <w:sz w:val="15"/>
          <w:szCs w:val="15"/>
          <w:b w:val="1"/>
          <w:bCs w:val="1"/>
          <w:color w:val="999999"/>
        </w:rPr>
        <w:t>Титуляр: „БН-КОНСУЛТ-ИНЖЕНИРИНГ” ООД</w:t>
      </w:r>
    </w:p>
    <w:p>
      <w:pPr>
        <w:spacing w:after="0" w:line="12" w:lineRule="exact"/>
        <w:rPr>
          <w:sz w:val="20"/>
          <w:szCs w:val="20"/>
          <w:color w:val="auto"/>
        </w:rPr>
      </w:pPr>
    </w:p>
    <w:p>
      <w:pPr>
        <w:jc w:val="center"/>
        <w:ind w:right="6811"/>
        <w:spacing w:after="0"/>
        <w:rPr>
          <w:sz w:val="20"/>
          <w:szCs w:val="20"/>
          <w:color w:val="auto"/>
        </w:rPr>
      </w:pPr>
      <w:r>
        <w:rPr>
          <w:rFonts w:ascii="Times New Roman" w:cs="Times New Roman" w:eastAsia="Times New Roman" w:hAnsi="Times New Roman"/>
          <w:sz w:val="16"/>
          <w:szCs w:val="16"/>
          <w:b w:val="1"/>
          <w:bCs w:val="1"/>
          <w:color w:val="999999"/>
        </w:rPr>
        <w:t>гр. София</w:t>
      </w:r>
    </w:p>
    <w:p>
      <w:pPr>
        <w:sectPr>
          <w:pgSz w:w="11920" w:h="16850" w:orient="portrait"/>
          <w:cols w:equalWidth="0" w:num="1">
            <w:col w:w="10349"/>
          </w:cols>
          <w:pgMar w:left="991" w:top="376" w:right="571" w:bottom="0" w:gutter="0" w:footer="0" w:header="0"/>
          <w:type w:val="continuous"/>
        </w:sectPr>
      </w:pPr>
    </w:p>
    <w:p>
      <w:pPr>
        <w:jc w:val="both"/>
        <w:spacing w:after="0" w:line="255" w:lineRule="auto"/>
        <w:rPr>
          <w:sz w:val="20"/>
          <w:szCs w:val="20"/>
          <w:color w:val="auto"/>
        </w:rPr>
      </w:pPr>
      <w:r>
        <w:rPr>
          <w:rFonts w:ascii="Times New Roman" w:cs="Times New Roman" w:eastAsia="Times New Roman" w:hAnsi="Times New Roman"/>
          <w:sz w:val="20"/>
          <w:szCs w:val="20"/>
          <w:b w:val="1"/>
          <w:bCs w:val="1"/>
          <w:color w:val="auto"/>
        </w:rPr>
        <w:t xml:space="preserve">ПРЕДЛОЖЕНИЕ ЗА УПРАВЛЕНИЕ НА МИННИТЕ ОТПАДЪЦИ при осъществяване на инвестиционно предложение: „Добив на подземни богатства – индустриални минерали - глауконитови пясъчници от находище </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b w:val="1"/>
          <w:bCs w:val="1"/>
          <w:color w:val="auto"/>
        </w:rPr>
        <w:t>ГЛОРИЯ</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b w:val="1"/>
          <w:bCs w:val="1"/>
          <w:color w:val="auto"/>
        </w:rPr>
        <w:t>,</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разположено в землищата на с.</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Мало Пещене и с.</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Голямо Пещене,</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община Враца,</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област Враца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-12700</wp:posOffset>
                </wp:positionH>
                <wp:positionV relativeFrom="paragraph">
                  <wp:posOffset>15875</wp:posOffset>
                </wp:positionV>
                <wp:extent cx="6553200" cy="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53200" cy="4763"/>
                        </a:xfrm>
                        <a:prstGeom prst="line">
                          <a:avLst/>
                        </a:prstGeom>
                        <a:solidFill>
                          <a:srgbClr val="FFFFFF"/>
                        </a:solidFill>
                        <a:ln w="9525">
                          <a:solidFill>
                            <a:srgbClr val="969696"/>
                          </a:solidFill>
                          <a:miter lim="800000"/>
                          <a:headEnd/>
                          <a:tailEnd/>
                        </a:ln>
                      </wps:spPr>
                      <wps:bodyPr/>
                    </wps:wsp>
                  </a:graphicData>
                </a:graphic>
              </wp:anchor>
            </w:drawing>
          </mc:Choice>
          <mc:Fallback>
            <w:pict>
              <v:line id="Shape 28" o:spid="_x0000_s105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pt,1.25pt" to="515pt,1.25pt" o:allowincell="f" strokecolor="#969696" strokeweight="0.75pt"/>
            </w:pict>
          </mc:Fallback>
        </mc:AlternateContent>
      </w:r>
    </w:p>
    <w:p>
      <w:pPr>
        <w:spacing w:after="0" w:line="155"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пясъчници от горния хоризонт на Малопещенската свита.</w:t>
      </w:r>
    </w:p>
    <w:p>
      <w:pPr>
        <w:spacing w:after="0" w:line="119" w:lineRule="exact"/>
        <w:rPr>
          <w:sz w:val="20"/>
          <w:szCs w:val="20"/>
          <w:color w:val="auto"/>
        </w:rPr>
      </w:pPr>
    </w:p>
    <w:p>
      <w:pPr>
        <w:ind w:left="560"/>
        <w:spacing w:after="0"/>
        <w:rPr>
          <w:sz w:val="20"/>
          <w:szCs w:val="20"/>
          <w:color w:val="auto"/>
        </w:rPr>
      </w:pPr>
      <w:r>
        <w:rPr>
          <w:rFonts w:ascii="Times New Roman" w:cs="Times New Roman" w:eastAsia="Times New Roman" w:hAnsi="Times New Roman"/>
          <w:sz w:val="24"/>
          <w:szCs w:val="24"/>
          <w:b w:val="1"/>
          <w:bCs w:val="1"/>
          <w:i w:val="1"/>
          <w:iCs w:val="1"/>
          <w:color w:val="auto"/>
        </w:rPr>
        <w:t>3.1.2 Прилагани добивни технологии</w:t>
      </w:r>
    </w:p>
    <w:p>
      <w:pPr>
        <w:spacing w:after="0" w:line="1" w:lineRule="exact"/>
        <w:rPr>
          <w:sz w:val="20"/>
          <w:szCs w:val="20"/>
          <w:color w:val="auto"/>
        </w:rPr>
      </w:pPr>
    </w:p>
    <w:p>
      <w:pPr>
        <w:jc w:val="both"/>
        <w:ind w:firstLine="566"/>
        <w:spacing w:after="0"/>
        <w:rPr>
          <w:sz w:val="20"/>
          <w:szCs w:val="20"/>
          <w:color w:val="auto"/>
        </w:rPr>
      </w:pPr>
      <w:r>
        <w:rPr>
          <w:rFonts w:ascii="Times New Roman" w:cs="Times New Roman" w:eastAsia="Times New Roman" w:hAnsi="Times New Roman"/>
          <w:sz w:val="24"/>
          <w:szCs w:val="24"/>
          <w:color w:val="auto"/>
        </w:rPr>
        <w:t>Минно-технологичните условия в находището предопределят предвидената в инвестиционното предложение система за добив по открит кариерен способ без употреба на взривни вещества.</w:t>
      </w:r>
    </w:p>
    <w:p>
      <w:pPr>
        <w:ind w:firstLine="566"/>
        <w:spacing w:after="0" w:line="248" w:lineRule="auto"/>
        <w:rPr>
          <w:sz w:val="20"/>
          <w:szCs w:val="20"/>
          <w:color w:val="auto"/>
        </w:rPr>
      </w:pPr>
      <w:r>
        <w:rPr>
          <w:rFonts w:ascii="Times New Roman" w:cs="Times New Roman" w:eastAsia="Times New Roman" w:hAnsi="Times New Roman"/>
          <w:sz w:val="24"/>
          <w:szCs w:val="24"/>
          <w:color w:val="auto"/>
        </w:rPr>
        <w:t>Добивът на глауконитови пясъчници в находището ще се извършва при следване на следните параметри на минните работи:</w:t>
      </w:r>
    </w:p>
    <w:p>
      <w:pPr>
        <w:ind w:left="1280" w:hanging="362"/>
        <w:spacing w:after="0"/>
        <w:tabs>
          <w:tab w:leader="none" w:pos="1280" w:val="left"/>
        </w:tabs>
        <w:numPr>
          <w:ilvl w:val="0"/>
          <w:numId w:val="10"/>
        </w:numPr>
        <w:rPr>
          <w:rFonts w:ascii="Symbol" w:cs="Symbol" w:eastAsia="Symbol" w:hAnsi="Symbol"/>
          <w:sz w:val="24"/>
          <w:szCs w:val="24"/>
          <w:color w:val="auto"/>
        </w:rPr>
      </w:pPr>
      <w:r>
        <w:rPr>
          <w:rFonts w:ascii="Times New Roman" w:cs="Times New Roman" w:eastAsia="Times New Roman" w:hAnsi="Times New Roman"/>
          <w:sz w:val="24"/>
          <w:szCs w:val="24"/>
          <w:color w:val="auto"/>
        </w:rPr>
        <w:t>Височина на работно стъпало – 15 m за основния добив; 5 m- за работа по откривката;</w:t>
      </w:r>
    </w:p>
    <w:p>
      <w:pPr>
        <w:ind w:left="1280" w:hanging="362"/>
        <w:spacing w:after="0" w:line="190" w:lineRule="auto"/>
        <w:tabs>
          <w:tab w:leader="none" w:pos="1280" w:val="left"/>
        </w:tabs>
        <w:numPr>
          <w:ilvl w:val="0"/>
          <w:numId w:val="10"/>
        </w:numPr>
        <w:rPr>
          <w:rFonts w:ascii="Symbol" w:cs="Symbol" w:eastAsia="Symbol" w:hAnsi="Symbol"/>
          <w:sz w:val="24"/>
          <w:szCs w:val="24"/>
          <w:color w:val="auto"/>
        </w:rPr>
      </w:pPr>
      <w:r>
        <w:rPr>
          <w:rFonts w:ascii="Times New Roman" w:cs="Times New Roman" w:eastAsia="Times New Roman" w:hAnsi="Times New Roman"/>
          <w:sz w:val="24"/>
          <w:szCs w:val="24"/>
          <w:color w:val="auto"/>
        </w:rPr>
        <w:t>Ъгъл на работното стъпало в неработен борд – 45</w:t>
      </w:r>
      <w:r>
        <w:rPr>
          <w:rFonts w:ascii="Times New Roman" w:cs="Times New Roman" w:eastAsia="Times New Roman" w:hAnsi="Times New Roman"/>
          <w:sz w:val="32"/>
          <w:szCs w:val="32"/>
          <w:color w:val="auto"/>
          <w:vertAlign w:val="superscript"/>
        </w:rPr>
        <w:t>0</w:t>
      </w:r>
      <w:r>
        <w:rPr>
          <w:rFonts w:ascii="Times New Roman" w:cs="Times New Roman" w:eastAsia="Times New Roman" w:hAnsi="Times New Roman"/>
          <w:sz w:val="24"/>
          <w:szCs w:val="24"/>
          <w:color w:val="auto"/>
        </w:rPr>
        <w:t xml:space="preserve"> и 25</w:t>
      </w:r>
      <w:r>
        <w:rPr>
          <w:rFonts w:ascii="Times New Roman" w:cs="Times New Roman" w:eastAsia="Times New Roman" w:hAnsi="Times New Roman"/>
          <w:sz w:val="32"/>
          <w:szCs w:val="32"/>
          <w:color w:val="auto"/>
          <w:vertAlign w:val="superscript"/>
        </w:rPr>
        <w:t>0</w:t>
      </w:r>
      <w:r>
        <w:rPr>
          <w:rFonts w:ascii="Times New Roman" w:cs="Times New Roman" w:eastAsia="Times New Roman" w:hAnsi="Times New Roman"/>
          <w:sz w:val="24"/>
          <w:szCs w:val="24"/>
          <w:color w:val="auto"/>
        </w:rPr>
        <w:t xml:space="preserve"> за работа по откривката;</w:t>
      </w:r>
    </w:p>
    <w:p>
      <w:pPr>
        <w:spacing w:after="0" w:line="1" w:lineRule="exact"/>
        <w:rPr>
          <w:rFonts w:ascii="Symbol" w:cs="Symbol" w:eastAsia="Symbol" w:hAnsi="Symbol"/>
          <w:sz w:val="24"/>
          <w:szCs w:val="24"/>
          <w:color w:val="auto"/>
        </w:rPr>
      </w:pPr>
    </w:p>
    <w:p>
      <w:pPr>
        <w:ind w:left="1280" w:hanging="362"/>
        <w:spacing w:after="0" w:line="192" w:lineRule="auto"/>
        <w:tabs>
          <w:tab w:leader="none" w:pos="1280" w:val="left"/>
        </w:tabs>
        <w:numPr>
          <w:ilvl w:val="0"/>
          <w:numId w:val="10"/>
        </w:numPr>
        <w:rPr>
          <w:rFonts w:ascii="Symbol" w:cs="Symbol" w:eastAsia="Symbol" w:hAnsi="Symbol"/>
          <w:sz w:val="24"/>
          <w:szCs w:val="24"/>
          <w:color w:val="auto"/>
        </w:rPr>
      </w:pPr>
      <w:r>
        <w:rPr>
          <w:rFonts w:ascii="Times New Roman" w:cs="Times New Roman" w:eastAsia="Times New Roman" w:hAnsi="Times New Roman"/>
          <w:sz w:val="24"/>
          <w:szCs w:val="24"/>
          <w:color w:val="auto"/>
        </w:rPr>
        <w:t>Генерален бордов ъгъл на кариерата – до 41</w:t>
      </w:r>
      <w:r>
        <w:rPr>
          <w:rFonts w:ascii="Times New Roman" w:cs="Times New Roman" w:eastAsia="Times New Roman" w:hAnsi="Times New Roman"/>
          <w:sz w:val="32"/>
          <w:szCs w:val="32"/>
          <w:color w:val="auto"/>
          <w:vertAlign w:val="superscript"/>
        </w:rPr>
        <w:t>0</w:t>
      </w:r>
      <w:r>
        <w:rPr>
          <w:rFonts w:ascii="Times New Roman" w:cs="Times New Roman" w:eastAsia="Times New Roman" w:hAnsi="Times New Roman"/>
          <w:sz w:val="24"/>
          <w:szCs w:val="24"/>
          <w:color w:val="auto"/>
        </w:rPr>
        <w:t>;</w:t>
      </w:r>
    </w:p>
    <w:p>
      <w:pPr>
        <w:ind w:left="1280" w:hanging="362"/>
        <w:spacing w:after="0" w:line="190" w:lineRule="auto"/>
        <w:tabs>
          <w:tab w:leader="none" w:pos="1280" w:val="left"/>
        </w:tabs>
        <w:numPr>
          <w:ilvl w:val="0"/>
          <w:numId w:val="10"/>
        </w:numPr>
        <w:rPr>
          <w:rFonts w:ascii="Symbol" w:cs="Symbol" w:eastAsia="Symbol" w:hAnsi="Symbol"/>
          <w:sz w:val="24"/>
          <w:szCs w:val="24"/>
          <w:color w:val="auto"/>
        </w:rPr>
      </w:pPr>
      <w:r>
        <w:rPr>
          <w:rFonts w:ascii="Times New Roman" w:cs="Times New Roman" w:eastAsia="Times New Roman" w:hAnsi="Times New Roman"/>
          <w:sz w:val="24"/>
          <w:szCs w:val="24"/>
          <w:color w:val="auto"/>
        </w:rPr>
        <w:t>Максимален наклон на булдозерните пътища – до 20</w:t>
      </w:r>
      <w:r>
        <w:rPr>
          <w:rFonts w:ascii="Times New Roman" w:cs="Times New Roman" w:eastAsia="Times New Roman" w:hAnsi="Times New Roman"/>
          <w:sz w:val="32"/>
          <w:szCs w:val="32"/>
          <w:color w:val="auto"/>
          <w:vertAlign w:val="superscript"/>
        </w:rPr>
        <w:t>0</w:t>
      </w:r>
      <w:r>
        <w:rPr>
          <w:rFonts w:ascii="Times New Roman" w:cs="Times New Roman" w:eastAsia="Times New Roman" w:hAnsi="Times New Roman"/>
          <w:sz w:val="24"/>
          <w:szCs w:val="24"/>
          <w:color w:val="auto"/>
        </w:rPr>
        <w:t>;</w:t>
      </w:r>
    </w:p>
    <w:p>
      <w:pPr>
        <w:spacing w:after="0" w:line="1" w:lineRule="exact"/>
        <w:rPr>
          <w:rFonts w:ascii="Symbol" w:cs="Symbol" w:eastAsia="Symbol" w:hAnsi="Symbol"/>
          <w:sz w:val="24"/>
          <w:szCs w:val="24"/>
          <w:color w:val="auto"/>
        </w:rPr>
      </w:pPr>
    </w:p>
    <w:p>
      <w:pPr>
        <w:ind w:left="1280" w:hanging="362"/>
        <w:spacing w:after="0" w:line="239" w:lineRule="auto"/>
        <w:tabs>
          <w:tab w:leader="none" w:pos="1280" w:val="left"/>
        </w:tabs>
        <w:numPr>
          <w:ilvl w:val="0"/>
          <w:numId w:val="10"/>
        </w:numPr>
        <w:rPr>
          <w:rFonts w:ascii="Symbol" w:cs="Symbol" w:eastAsia="Symbol" w:hAnsi="Symbol"/>
          <w:sz w:val="24"/>
          <w:szCs w:val="24"/>
          <w:color w:val="auto"/>
        </w:rPr>
      </w:pPr>
      <w:r>
        <w:rPr>
          <w:rFonts w:ascii="Times New Roman" w:cs="Times New Roman" w:eastAsia="Times New Roman" w:hAnsi="Times New Roman"/>
          <w:sz w:val="24"/>
          <w:szCs w:val="24"/>
          <w:color w:val="auto"/>
        </w:rPr>
        <w:t>Височина на булдозерните насипища - до 15 m;</w:t>
      </w:r>
    </w:p>
    <w:p>
      <w:pPr>
        <w:ind w:left="1280" w:hanging="362"/>
        <w:spacing w:after="0" w:line="239" w:lineRule="auto"/>
        <w:tabs>
          <w:tab w:leader="none" w:pos="1280" w:val="left"/>
        </w:tabs>
        <w:numPr>
          <w:ilvl w:val="0"/>
          <w:numId w:val="10"/>
        </w:numPr>
        <w:rPr>
          <w:rFonts w:ascii="Symbol" w:cs="Symbol" w:eastAsia="Symbol" w:hAnsi="Symbol"/>
          <w:sz w:val="24"/>
          <w:szCs w:val="24"/>
          <w:color w:val="auto"/>
        </w:rPr>
      </w:pPr>
      <w:r>
        <w:rPr>
          <w:rFonts w:ascii="Times New Roman" w:cs="Times New Roman" w:eastAsia="Times New Roman" w:hAnsi="Times New Roman"/>
          <w:sz w:val="24"/>
          <w:szCs w:val="24"/>
          <w:color w:val="auto"/>
        </w:rPr>
        <w:t>Широчина на предпазните берми – 5,0 m;</w:t>
      </w:r>
    </w:p>
    <w:p>
      <w:pPr>
        <w:ind w:left="1280" w:hanging="362"/>
        <w:spacing w:after="0" w:line="231" w:lineRule="auto"/>
        <w:tabs>
          <w:tab w:leader="none" w:pos="1280" w:val="left"/>
        </w:tabs>
        <w:numPr>
          <w:ilvl w:val="0"/>
          <w:numId w:val="10"/>
        </w:numPr>
        <w:rPr>
          <w:rFonts w:ascii="Symbol" w:cs="Symbol" w:eastAsia="Symbol" w:hAnsi="Symbol"/>
          <w:sz w:val="24"/>
          <w:szCs w:val="24"/>
          <w:color w:val="auto"/>
        </w:rPr>
      </w:pPr>
      <w:r>
        <w:rPr>
          <w:rFonts w:ascii="Times New Roman" w:cs="Times New Roman" w:eastAsia="Times New Roman" w:hAnsi="Times New Roman"/>
          <w:sz w:val="24"/>
          <w:szCs w:val="24"/>
          <w:color w:val="auto"/>
        </w:rPr>
        <w:t>Минимална широчина на работната площадка – 40,0 m – това ще обезпечи разполагане на необходимото оборудване и безопасната му експлоатация.</w:t>
      </w:r>
    </w:p>
    <w:p>
      <w:pPr>
        <w:spacing w:after="0" w:line="1" w:lineRule="exact"/>
        <w:rPr>
          <w:sz w:val="20"/>
          <w:szCs w:val="20"/>
          <w:color w:val="auto"/>
        </w:rPr>
      </w:pPr>
    </w:p>
    <w:p>
      <w:pPr>
        <w:jc w:val="both"/>
        <w:ind w:firstLine="566"/>
        <w:spacing w:after="0"/>
        <w:rPr>
          <w:sz w:val="20"/>
          <w:szCs w:val="20"/>
          <w:color w:val="auto"/>
        </w:rPr>
      </w:pPr>
      <w:r>
        <w:rPr>
          <w:rFonts w:ascii="Times New Roman" w:cs="Times New Roman" w:eastAsia="Times New Roman" w:hAnsi="Times New Roman"/>
          <w:sz w:val="24"/>
          <w:szCs w:val="24"/>
          <w:color w:val="auto"/>
        </w:rPr>
        <w:t>Експлоатацията на кариерата ще започне от централната част на блок 1 с доказани запаси и постепенно в хоризонтален план ще се развие първоначално в изток-североизточна и западна посока, а впоследствие и в дълбочина, започвайки от хоризонт 284 и стигайки в дълбочина до 260 m.</w:t>
      </w:r>
    </w:p>
    <w:p>
      <w:pPr>
        <w:jc w:val="both"/>
        <w:ind w:firstLine="566"/>
        <w:spacing w:after="0"/>
        <w:rPr>
          <w:sz w:val="20"/>
          <w:szCs w:val="20"/>
          <w:color w:val="auto"/>
        </w:rPr>
      </w:pPr>
      <w:r>
        <w:rPr>
          <w:rFonts w:ascii="Times New Roman" w:cs="Times New Roman" w:eastAsia="Times New Roman" w:hAnsi="Times New Roman"/>
          <w:sz w:val="24"/>
          <w:szCs w:val="24"/>
          <w:color w:val="auto"/>
        </w:rPr>
        <w:t>Изземването на екзогенно изветрелите и свежите глауконитови пясъчници следва да се осъществява успоредно, като за първичната преработка е желателно изветрелият субстрат да бъде до 20% от общото количество скална маса.</w:t>
      </w:r>
    </w:p>
    <w:p>
      <w:pPr>
        <w:jc w:val="both"/>
        <w:ind w:firstLine="566"/>
        <w:spacing w:after="0"/>
        <w:rPr>
          <w:sz w:val="20"/>
          <w:szCs w:val="20"/>
          <w:color w:val="auto"/>
        </w:rPr>
      </w:pPr>
      <w:r>
        <w:rPr>
          <w:rFonts w:ascii="Times New Roman" w:cs="Times New Roman" w:eastAsia="Times New Roman" w:hAnsi="Times New Roman"/>
          <w:sz w:val="24"/>
          <w:szCs w:val="24"/>
          <w:color w:val="auto"/>
        </w:rPr>
        <w:t>При извършването на такъв добив още преди първичната преработка ще се усредняват съдържанието на глауконит и физико-механичните показатели на материала в дълбочина.</w:t>
      </w:r>
    </w:p>
    <w:p>
      <w:pPr>
        <w:jc w:val="both"/>
        <w:ind w:firstLine="566"/>
        <w:spacing w:after="0"/>
        <w:rPr>
          <w:sz w:val="20"/>
          <w:szCs w:val="20"/>
          <w:color w:val="auto"/>
        </w:rPr>
      </w:pPr>
      <w:r>
        <w:rPr>
          <w:rFonts w:ascii="Times New Roman" w:cs="Times New Roman" w:eastAsia="Times New Roman" w:hAnsi="Times New Roman"/>
          <w:sz w:val="24"/>
          <w:szCs w:val="24"/>
          <w:color w:val="auto"/>
        </w:rPr>
        <w:t>Изветрелият глауконитов пясъчник ще се изземва директно с багер и ще се товари на самосвали. Предвижда се организацията на работа през първо и четвърто тримесечие, когато валежите са повече, да се работи предимно в забой със свежи глауконитови пясъчници, които поемат по-малко влага и се обработват по-добре. Работа при добив на свежи глауконитови материали в дъждовно време е по-облекчена.</w:t>
      </w:r>
    </w:p>
    <w:p>
      <w:pPr>
        <w:jc w:val="both"/>
        <w:ind w:firstLine="567"/>
        <w:spacing w:after="0" w:line="236" w:lineRule="auto"/>
        <w:rPr>
          <w:sz w:val="20"/>
          <w:szCs w:val="20"/>
          <w:color w:val="auto"/>
        </w:rPr>
      </w:pPr>
      <w:r>
        <w:rPr>
          <w:rFonts w:ascii="Times New Roman" w:cs="Times New Roman" w:eastAsia="Times New Roman" w:hAnsi="Times New Roman"/>
          <w:sz w:val="24"/>
          <w:szCs w:val="24"/>
          <w:color w:val="auto"/>
        </w:rPr>
        <w:t xml:space="preserve">Свежият глауконитов пясъчник, поради значителната си плътност и твърдост не може улеснено да се разработва чрез директно изземване с багер. За това се налага предварителното им разрохване с булдозер- разрохвач от типа на </w:t>
      </w:r>
      <w:r>
        <w:rPr>
          <w:rFonts w:ascii="Times New Roman" w:cs="Times New Roman" w:eastAsia="Times New Roman" w:hAnsi="Times New Roman"/>
          <w:sz w:val="22"/>
          <w:szCs w:val="22"/>
          <w:color w:val="auto"/>
        </w:rPr>
        <w:t>Комацу</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2"/>
          <w:szCs w:val="22"/>
          <w:color w:val="auto"/>
        </w:rPr>
        <w:t>D-355A.</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2"/>
          <w:szCs w:val="22"/>
          <w:color w:val="auto"/>
        </w:rPr>
        <w:t>Разрохкваната суровина ще се събира с</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2"/>
          <w:szCs w:val="22"/>
          <w:color w:val="auto"/>
        </w:rPr>
        <w:t>булдозер, като се трупа на дълги купове с височина до 2,5-3,0 m и широчина 15-25 m. Върху така оформените куполи ще се качва багер, който работи с долно гребане и товарена на автосамосвалите.</w:t>
      </w:r>
    </w:p>
    <w:p>
      <w:pPr>
        <w:jc w:val="both"/>
        <w:ind w:firstLine="566"/>
        <w:spacing w:after="0" w:line="272" w:lineRule="auto"/>
        <w:rPr>
          <w:sz w:val="20"/>
          <w:szCs w:val="20"/>
          <w:color w:val="auto"/>
        </w:rPr>
      </w:pPr>
      <w:r>
        <w:rPr>
          <w:rFonts w:ascii="Times New Roman" w:cs="Times New Roman" w:eastAsia="Times New Roman" w:hAnsi="Times New Roman"/>
          <w:sz w:val="24"/>
          <w:szCs w:val="24"/>
          <w:color w:val="auto"/>
        </w:rPr>
        <w:t>Така добитият скален материал от глауконитови пясъчници ще се извозва до промишлената площадка за осъществяване на неговата преработка в преработвателна инсталация</w:t>
      </w:r>
    </w:p>
    <w:p>
      <w:pPr>
        <w:spacing w:after="0" w:line="45" w:lineRule="exact"/>
        <w:rPr>
          <w:sz w:val="20"/>
          <w:szCs w:val="20"/>
          <w:color w:val="auto"/>
        </w:rPr>
      </w:pPr>
    </w:p>
    <w:p>
      <w:pPr>
        <w:ind w:left="560"/>
        <w:spacing w:after="0"/>
        <w:rPr>
          <w:sz w:val="20"/>
          <w:szCs w:val="20"/>
          <w:color w:val="auto"/>
        </w:rPr>
      </w:pPr>
      <w:r>
        <w:rPr>
          <w:rFonts w:ascii="Times New Roman" w:cs="Times New Roman" w:eastAsia="Times New Roman" w:hAnsi="Times New Roman"/>
          <w:sz w:val="24"/>
          <w:szCs w:val="24"/>
          <w:b w:val="1"/>
          <w:bCs w:val="1"/>
          <w:i w:val="1"/>
          <w:iCs w:val="1"/>
          <w:color w:val="auto"/>
        </w:rPr>
        <w:t>3.1.3 Прилагани преработвателни технологии</w:t>
      </w:r>
    </w:p>
    <w:p>
      <w:pPr>
        <w:spacing w:after="0" w:line="1" w:lineRule="exact"/>
        <w:rPr>
          <w:sz w:val="20"/>
          <w:szCs w:val="20"/>
          <w:color w:val="auto"/>
        </w:rPr>
      </w:pPr>
    </w:p>
    <w:p>
      <w:pPr>
        <w:ind w:left="560" w:right="1100"/>
        <w:spacing w:after="0"/>
        <w:rPr>
          <w:sz w:val="20"/>
          <w:szCs w:val="20"/>
          <w:color w:val="auto"/>
        </w:rPr>
      </w:pPr>
      <w:r>
        <w:rPr>
          <w:rFonts w:ascii="Times New Roman" w:cs="Times New Roman" w:eastAsia="Times New Roman" w:hAnsi="Times New Roman"/>
          <w:sz w:val="24"/>
          <w:szCs w:val="24"/>
          <w:color w:val="auto"/>
        </w:rPr>
        <w:t xml:space="preserve">Необходимата преработвателна инсталация ще се състои от три модула: </w:t>
      </w:r>
      <w:r>
        <w:rPr>
          <w:rFonts w:ascii="Times New Roman" w:cs="Times New Roman" w:eastAsia="Times New Roman" w:hAnsi="Times New Roman"/>
          <w:sz w:val="24"/>
          <w:szCs w:val="24"/>
          <w:b w:val="1"/>
          <w:bCs w:val="1"/>
          <w:i w:val="1"/>
          <w:iCs w:val="1"/>
          <w:color w:val="auto"/>
        </w:rPr>
        <w:t xml:space="preserve">Трошачно-сортировъчен модул </w:t>
      </w:r>
      <w:r>
        <w:rPr>
          <w:rFonts w:ascii="Times New Roman" w:cs="Times New Roman" w:eastAsia="Times New Roman" w:hAnsi="Times New Roman"/>
          <w:sz w:val="24"/>
          <w:szCs w:val="24"/>
          <w:color w:val="auto"/>
        </w:rPr>
        <w:t>за първично натрошаване на материала до</w:t>
      </w:r>
      <w:r>
        <w:rPr>
          <w:rFonts w:ascii="Times New Roman" w:cs="Times New Roman" w:eastAsia="Times New Roman" w:hAnsi="Times New Roman"/>
          <w:sz w:val="24"/>
          <w:szCs w:val="24"/>
          <w:b w:val="1"/>
          <w:bCs w:val="1"/>
          <w:i w:val="1"/>
          <w:iCs w:val="1"/>
          <w:color w:val="auto"/>
        </w:rPr>
        <w:t xml:space="preserve"> </w:t>
      </w:r>
      <w:r>
        <w:rPr>
          <w:rFonts w:ascii="Times New Roman" w:cs="Times New Roman" w:eastAsia="Times New Roman" w:hAnsi="Times New Roman"/>
          <w:sz w:val="24"/>
          <w:szCs w:val="24"/>
          <w:color w:val="auto"/>
        </w:rPr>
        <w:t>0,25</w:t>
      </w:r>
      <w:r>
        <w:rPr>
          <w:rFonts w:ascii="Times New Roman" w:cs="Times New Roman" w:eastAsia="Times New Roman" w:hAnsi="Times New Roman"/>
          <w:sz w:val="24"/>
          <w:szCs w:val="24"/>
          <w:b w:val="1"/>
          <w:bCs w:val="1"/>
          <w:i w:val="1"/>
          <w:iCs w:val="1"/>
          <w:color w:val="auto"/>
        </w:rPr>
        <w:t xml:space="preserve"> </w:t>
      </w:r>
      <w:r>
        <w:rPr>
          <w:rFonts w:ascii="Times New Roman" w:cs="Times New Roman" w:eastAsia="Times New Roman" w:hAnsi="Times New Roman"/>
          <w:sz w:val="24"/>
          <w:szCs w:val="24"/>
          <w:color w:val="auto"/>
        </w:rPr>
        <w:t>mm</w:t>
      </w:r>
      <w:r>
        <w:rPr>
          <w:rFonts w:ascii="Times New Roman" w:cs="Times New Roman" w:eastAsia="Times New Roman" w:hAnsi="Times New Roman"/>
          <w:sz w:val="24"/>
          <w:szCs w:val="24"/>
          <w:b w:val="1"/>
          <w:bCs w:val="1"/>
          <w:i w:val="1"/>
          <w:iCs w:val="1"/>
          <w:color w:val="auto"/>
        </w:rPr>
        <w:t xml:space="preserve"> </w:t>
      </w:r>
      <w:r>
        <w:rPr>
          <w:rFonts w:ascii="Times New Roman" w:cs="Times New Roman" w:eastAsia="Times New Roman" w:hAnsi="Times New Roman"/>
          <w:sz w:val="24"/>
          <w:szCs w:val="24"/>
          <w:color w:val="auto"/>
        </w:rPr>
        <w:t>Мобилната трошачно – сортировъчна инсталация е изградена от два модула:</w:t>
      </w:r>
    </w:p>
    <w:p>
      <w:pPr>
        <w:ind w:left="800" w:hanging="242"/>
        <w:spacing w:after="0"/>
        <w:tabs>
          <w:tab w:leader="none" w:pos="800" w:val="left"/>
        </w:tabs>
        <w:numPr>
          <w:ilvl w:val="0"/>
          <w:numId w:val="11"/>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Мобилна роторна трошачка, чиято функция е следната:</w:t>
      </w:r>
    </w:p>
    <w:p>
      <w:pPr>
        <w:jc w:val="both"/>
        <w:ind w:firstLine="558"/>
        <w:spacing w:after="0"/>
        <w:tabs>
          <w:tab w:leader="none" w:pos="802" w:val="left"/>
        </w:tabs>
        <w:numPr>
          <w:ilvl w:val="0"/>
          <w:numId w:val="12"/>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приемния бункер се подава изкопана миннаа маса със зърнометрия '' – 600 mm ”. Скалната маса над 600 mm се отделя с помощта на хидравлична скара.От приемния бункер служещ за подаване на константно количество скална маса по ГТЛ материала постъпва в роторна трошачка,където се претрошава до фракция ”+25 mm”</w:t>
      </w:r>
    </w:p>
    <w:p>
      <w:pPr>
        <w:ind w:left="560"/>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2. Мобилно двуплощно сито, чиято функция е следната:</w:t>
      </w:r>
    </w:p>
    <w:p>
      <w:pPr>
        <w:jc w:val="both"/>
        <w:ind w:firstLine="566"/>
        <w:spacing w:after="0" w:line="238"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От роторната трошачка по ГТЛ се подава претрошения материал на двудеково сито, което пресява три фракции: „0 – 5 mm” ,”5 – 25 mm” и “+25 mm”. Ситовите повърхности могат да се променят в зависимост от търсенето на пазара. Фракцията над 25 mm може да се подава за повторно трошене.</w:t>
      </w:r>
    </w:p>
    <w:p>
      <w:pPr>
        <w:spacing w:after="0" w:line="3" w:lineRule="exact"/>
        <w:rPr>
          <w:rFonts w:ascii="Times New Roman" w:cs="Times New Roman" w:eastAsia="Times New Roman" w:hAnsi="Times New Roman"/>
          <w:sz w:val="24"/>
          <w:szCs w:val="24"/>
          <w:color w:val="auto"/>
        </w:rPr>
      </w:pPr>
    </w:p>
    <w:p>
      <w:pPr>
        <w:ind w:left="560"/>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b w:val="1"/>
          <w:bCs w:val="1"/>
          <w:i w:val="1"/>
          <w:iCs w:val="1"/>
          <w:color w:val="auto"/>
        </w:rPr>
        <w:t xml:space="preserve">Сушилно-мелачен модул </w:t>
      </w:r>
      <w:r>
        <w:rPr>
          <w:rFonts w:ascii="Times New Roman" w:cs="Times New Roman" w:eastAsia="Times New Roman" w:hAnsi="Times New Roman"/>
          <w:sz w:val="24"/>
          <w:szCs w:val="24"/>
          <w:color w:val="auto"/>
        </w:rPr>
        <w:t>(вертикална сушилно-мелачна инсталация със затворен цикъл за</w:t>
      </w:r>
    </w:p>
    <w:p>
      <w:pPr>
        <w:spacing w:after="0" w:line="165" w:lineRule="exact"/>
        <w:rPr>
          <w:sz w:val="20"/>
          <w:szCs w:val="20"/>
          <w:color w:val="auto"/>
        </w:rPr>
      </w:pPr>
    </w:p>
    <w:p>
      <w:pPr>
        <w:ind w:left="10200"/>
        <w:spacing w:after="0"/>
        <w:rPr>
          <w:sz w:val="20"/>
          <w:szCs w:val="20"/>
          <w:color w:val="auto"/>
        </w:rPr>
      </w:pPr>
      <w:r>
        <w:rPr>
          <w:rFonts w:ascii="Times New Roman" w:cs="Times New Roman" w:eastAsia="Times New Roman" w:hAnsi="Times New Roman"/>
          <w:sz w:val="20"/>
          <w:szCs w:val="20"/>
          <w:color w:val="auto"/>
        </w:rPr>
        <w:t>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-15240</wp:posOffset>
            </wp:positionH>
            <wp:positionV relativeFrom="paragraph">
              <wp:posOffset>-60325</wp:posOffset>
            </wp:positionV>
            <wp:extent cx="6438900" cy="2857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ext uri="{28A0092B-C50C-407E-A947-70E740481C1C}"/>
                      </a:extLst>
                    </a:blip>
                    <a:srcRect/>
                    <a:stretch>
                      <a:fillRect/>
                    </a:stretch>
                  </pic:blipFill>
                  <pic:spPr bwMode="auto">
                    <a:xfrm>
                      <a:off x="0" y="0"/>
                      <a:ext cx="6438900" cy="28575"/>
                    </a:xfrm>
                    <a:prstGeom prst="rect">
                      <a:avLst/>
                    </a:prstGeom>
                    <a:noFill/>
                  </pic:spPr>
                </pic:pic>
              </a:graphicData>
            </a:graphic>
          </wp:anchor>
        </w:drawing>
      </w:r>
    </w:p>
    <w:p>
      <w:pPr>
        <w:sectPr>
          <w:pgSz w:w="11920" w:h="16850" w:orient="portrait"/>
          <w:cols w:equalWidth="0" w:num="1">
            <w:col w:w="10340"/>
          </w:cols>
          <w:pgMar w:left="1000" w:top="376" w:right="571" w:bottom="0" w:gutter="0" w:footer="0" w:header="0"/>
        </w:sectPr>
      </w:pPr>
    </w:p>
    <w:p>
      <w:pPr>
        <w:spacing w:after="0" w:line="2" w:lineRule="exact"/>
        <w:rPr>
          <w:sz w:val="20"/>
          <w:szCs w:val="20"/>
          <w:color w:val="auto"/>
        </w:rPr>
      </w:pPr>
    </w:p>
    <w:p>
      <w:pPr>
        <w:jc w:val="center"/>
        <w:ind w:right="6700"/>
        <w:spacing w:after="0"/>
        <w:rPr>
          <w:sz w:val="20"/>
          <w:szCs w:val="20"/>
          <w:color w:val="auto"/>
        </w:rPr>
      </w:pPr>
      <w:r>
        <w:rPr>
          <w:rFonts w:ascii="Times New Roman" w:cs="Times New Roman" w:eastAsia="Times New Roman" w:hAnsi="Times New Roman"/>
          <w:sz w:val="15"/>
          <w:szCs w:val="15"/>
          <w:b w:val="1"/>
          <w:bCs w:val="1"/>
          <w:color w:val="999999"/>
        </w:rPr>
        <w:t>Титуляр: „БН-КОНСУЛТ-ИНЖЕНИРИНГ” ООД</w:t>
      </w:r>
    </w:p>
    <w:p>
      <w:pPr>
        <w:spacing w:after="0" w:line="12" w:lineRule="exact"/>
        <w:rPr>
          <w:sz w:val="20"/>
          <w:szCs w:val="20"/>
          <w:color w:val="auto"/>
        </w:rPr>
      </w:pPr>
    </w:p>
    <w:p>
      <w:pPr>
        <w:jc w:val="center"/>
        <w:ind w:right="6820"/>
        <w:spacing w:after="0"/>
        <w:rPr>
          <w:sz w:val="20"/>
          <w:szCs w:val="20"/>
          <w:color w:val="auto"/>
        </w:rPr>
      </w:pPr>
      <w:r>
        <w:rPr>
          <w:rFonts w:ascii="Times New Roman" w:cs="Times New Roman" w:eastAsia="Times New Roman" w:hAnsi="Times New Roman"/>
          <w:sz w:val="16"/>
          <w:szCs w:val="16"/>
          <w:b w:val="1"/>
          <w:bCs w:val="1"/>
          <w:color w:val="999999"/>
        </w:rPr>
        <w:t>гр. София</w:t>
      </w:r>
    </w:p>
    <w:p>
      <w:pPr>
        <w:sectPr>
          <w:pgSz w:w="11920" w:h="16850" w:orient="portrait"/>
          <w:cols w:equalWidth="0" w:num="1">
            <w:col w:w="10340"/>
          </w:cols>
          <w:pgMar w:left="1000" w:top="376" w:right="571" w:bottom="0" w:gutter="0" w:footer="0" w:header="0"/>
          <w:type w:val="continuous"/>
        </w:sectPr>
      </w:pPr>
    </w:p>
    <w:p>
      <w:pPr>
        <w:jc w:val="both"/>
        <w:ind w:left="9"/>
        <w:spacing w:after="0" w:line="255" w:lineRule="auto"/>
        <w:rPr>
          <w:sz w:val="20"/>
          <w:szCs w:val="20"/>
          <w:color w:val="auto"/>
        </w:rPr>
      </w:pPr>
      <w:r>
        <w:rPr>
          <w:rFonts w:ascii="Times New Roman" w:cs="Times New Roman" w:eastAsia="Times New Roman" w:hAnsi="Times New Roman"/>
          <w:sz w:val="20"/>
          <w:szCs w:val="20"/>
          <w:b w:val="1"/>
          <w:bCs w:val="1"/>
          <w:color w:val="auto"/>
        </w:rPr>
        <w:t xml:space="preserve">ПРЕДЛОЖЕНИЕ ЗА УПРАВЛЕНИЕ НА МИННИТЕ ОТПАДЪЦИ при осъществяване на инвестиционно предложение: „Добив на подземни богатства – индустриални минерали - глауконитови пясъчници от находище </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b w:val="1"/>
          <w:bCs w:val="1"/>
          <w:color w:val="auto"/>
        </w:rPr>
        <w:t>ГЛОРИЯ</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b w:val="1"/>
          <w:bCs w:val="1"/>
          <w:color w:val="auto"/>
        </w:rPr>
        <w:t>,</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разположено в землищата на с.</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Мало Пещене и с.</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Голямо Пещене,</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община Враца,</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област Враца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-6985</wp:posOffset>
                </wp:positionH>
                <wp:positionV relativeFrom="paragraph">
                  <wp:posOffset>15875</wp:posOffset>
                </wp:positionV>
                <wp:extent cx="6552565" cy="0"/>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52565" cy="4763"/>
                        </a:xfrm>
                        <a:prstGeom prst="line">
                          <a:avLst/>
                        </a:prstGeom>
                        <a:solidFill>
                          <a:srgbClr val="FFFFFF"/>
                        </a:solidFill>
                        <a:ln w="9525">
                          <a:solidFill>
                            <a:srgbClr val="969696"/>
                          </a:solidFill>
                          <a:miter lim="800000"/>
                          <a:headEnd/>
                          <a:tailEnd/>
                        </a:ln>
                      </wps:spPr>
                      <wps:bodyPr/>
                    </wps:wsp>
                  </a:graphicData>
                </a:graphic>
              </wp:anchor>
            </w:drawing>
          </mc:Choice>
          <mc:Fallback>
            <w:pict>
              <v:line id="Shape 30" o:spid="_x0000_s10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499pt,1.25pt" to="515.4pt,1.25pt" o:allowincell="f" strokecolor="#969696" strokeweight="0.75pt"/>
            </w:pict>
          </mc:Fallback>
        </mc:AlternateContent>
      </w:r>
    </w:p>
    <w:p>
      <w:pPr>
        <w:spacing w:after="0" w:line="155" w:lineRule="exact"/>
        <w:rPr>
          <w:sz w:val="20"/>
          <w:szCs w:val="20"/>
          <w:color w:val="auto"/>
        </w:rPr>
      </w:pPr>
    </w:p>
    <w:p>
      <w:pPr>
        <w:ind w:left="9"/>
        <w:spacing w:after="0"/>
        <w:rPr>
          <w:sz w:val="20"/>
          <w:szCs w:val="20"/>
          <w:color w:val="auto"/>
        </w:rPr>
      </w:pPr>
      <w:r>
        <w:rPr>
          <w:rFonts w:ascii="Times New Roman" w:cs="Times New Roman" w:eastAsia="Times New Roman" w:hAnsi="Times New Roman"/>
          <w:sz w:val="24"/>
          <w:szCs w:val="24"/>
          <w:color w:val="auto"/>
        </w:rPr>
        <w:t>гравитационно улавяне на смлени глауконитови зърна от 0,2 mm)</w:t>
      </w:r>
    </w:p>
    <w:p>
      <w:pPr>
        <w:jc w:val="both"/>
        <w:ind w:left="9" w:firstLine="566"/>
        <w:spacing w:after="0" w:line="239" w:lineRule="auto"/>
        <w:rPr>
          <w:sz w:val="20"/>
          <w:szCs w:val="20"/>
          <w:color w:val="auto"/>
        </w:rPr>
      </w:pPr>
      <w:r>
        <w:rPr>
          <w:rFonts w:ascii="Times New Roman" w:cs="Times New Roman" w:eastAsia="Times New Roman" w:hAnsi="Times New Roman"/>
          <w:sz w:val="24"/>
          <w:szCs w:val="24"/>
          <w:color w:val="auto"/>
        </w:rPr>
        <w:t>Сушилно – мелачния комплекс се състои от топкова мелника и сушлня с капацитет от 5 m3 на час (например Metso minerals). Мелницата e ot wida SMD и има следните параметри: дължина 2,4 м широчина 0,9 м височина 3,3 м. Инстаираната мощност е 112 kW. Шум – 80 dB.</w:t>
      </w:r>
    </w:p>
    <w:p>
      <w:pPr>
        <w:spacing w:after="0" w:line="2" w:lineRule="exact"/>
        <w:rPr>
          <w:sz w:val="20"/>
          <w:szCs w:val="20"/>
          <w:color w:val="auto"/>
        </w:rPr>
      </w:pPr>
    </w:p>
    <w:p>
      <w:pPr>
        <w:ind w:left="569"/>
        <w:spacing w:after="0"/>
        <w:rPr>
          <w:sz w:val="20"/>
          <w:szCs w:val="20"/>
          <w:color w:val="auto"/>
        </w:rPr>
      </w:pPr>
      <w:r>
        <w:rPr>
          <w:rFonts w:ascii="Times New Roman" w:cs="Times New Roman" w:eastAsia="Times New Roman" w:hAnsi="Times New Roman"/>
          <w:sz w:val="24"/>
          <w:szCs w:val="24"/>
          <w:b w:val="1"/>
          <w:bCs w:val="1"/>
          <w:i w:val="1"/>
          <w:iCs w:val="1"/>
          <w:color w:val="auto"/>
        </w:rPr>
        <w:t>Електромагнитен сепаратор</w:t>
      </w:r>
    </w:p>
    <w:p>
      <w:pPr>
        <w:spacing w:after="0" w:line="1" w:lineRule="exact"/>
        <w:rPr>
          <w:sz w:val="20"/>
          <w:szCs w:val="20"/>
          <w:color w:val="auto"/>
        </w:rPr>
      </w:pPr>
    </w:p>
    <w:p>
      <w:pPr>
        <w:ind w:left="569"/>
        <w:spacing w:after="0"/>
        <w:rPr>
          <w:sz w:val="20"/>
          <w:szCs w:val="20"/>
          <w:color w:val="auto"/>
        </w:rPr>
      </w:pPr>
      <w:r>
        <w:rPr>
          <w:rFonts w:ascii="Times New Roman" w:cs="Times New Roman" w:eastAsia="Times New Roman" w:hAnsi="Times New Roman"/>
          <w:sz w:val="24"/>
          <w:szCs w:val="24"/>
          <w:color w:val="auto"/>
        </w:rPr>
        <w:t>Изсушения материал се подава на магнитен сепаратор за обогатяване. Магнитния сепаратор е</w:t>
      </w:r>
    </w:p>
    <w:p>
      <w:pPr>
        <w:jc w:val="both"/>
        <w:ind w:left="9" w:hanging="9"/>
        <w:spacing w:after="0"/>
        <w:tabs>
          <w:tab w:leader="none" w:pos="201" w:val="left"/>
        </w:tabs>
        <w:numPr>
          <w:ilvl w:val="0"/>
          <w:numId w:val="13"/>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часова производителност от 5 m3 и е от вида RD на Metso minerals. Инсталирана мощност е 15 kW. След обогатяване на глауконитовата суровина, тя се депонира на временно депо за експедиция.</w:t>
      </w:r>
    </w:p>
    <w:p>
      <w:pPr>
        <w:jc w:val="both"/>
        <w:ind w:left="9" w:firstLine="566"/>
        <w:spacing w:after="0" w:line="248"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Феромагнитните свойства на минерала глауконит предопределят най-ефективния метод на обогатяването да е с електромагнитен сепаратор. С приложената технологична схема на обогатяване със сухи магнитни сепаратори е достигнат глауконитов концентрат със съдържание на глауконит 81%, в който съдържанието на К2О е 8,6%. След пречистна магнитна сепарация се получава глауконитов концентрат 76%, със съдържание на К2О – 8,1%.</w:t>
      </w:r>
    </w:p>
    <w:p>
      <w:pPr>
        <w:spacing w:after="0" w:line="73" w:lineRule="exact"/>
        <w:rPr>
          <w:sz w:val="20"/>
          <w:szCs w:val="20"/>
          <w:color w:val="auto"/>
        </w:rPr>
      </w:pPr>
    </w:p>
    <w:p>
      <w:pPr>
        <w:ind w:left="569"/>
        <w:spacing w:after="0"/>
        <w:rPr>
          <w:sz w:val="20"/>
          <w:szCs w:val="20"/>
          <w:color w:val="auto"/>
        </w:rPr>
      </w:pPr>
      <w:r>
        <w:rPr>
          <w:rFonts w:ascii="Times New Roman" w:cs="Times New Roman" w:eastAsia="Times New Roman" w:hAnsi="Times New Roman"/>
          <w:sz w:val="24"/>
          <w:szCs w:val="24"/>
          <w:b w:val="1"/>
          <w:bCs w:val="1"/>
          <w:i w:val="1"/>
          <w:iCs w:val="1"/>
          <w:color w:val="auto"/>
        </w:rPr>
        <w:t>3.1.4 Изграждане на водосборници (утайници)</w:t>
      </w:r>
    </w:p>
    <w:p>
      <w:pPr>
        <w:spacing w:after="0" w:line="1" w:lineRule="exact"/>
        <w:rPr>
          <w:sz w:val="20"/>
          <w:szCs w:val="20"/>
          <w:color w:val="auto"/>
        </w:rPr>
      </w:pPr>
    </w:p>
    <w:p>
      <w:pPr>
        <w:jc w:val="both"/>
        <w:ind w:left="9" w:firstLine="566"/>
        <w:spacing w:after="0"/>
        <w:rPr>
          <w:sz w:val="20"/>
          <w:szCs w:val="20"/>
          <w:color w:val="auto"/>
        </w:rPr>
      </w:pPr>
      <w:r>
        <w:rPr>
          <w:rFonts w:ascii="Times New Roman" w:cs="Times New Roman" w:eastAsia="Times New Roman" w:hAnsi="Times New Roman"/>
          <w:sz w:val="24"/>
          <w:szCs w:val="24"/>
          <w:color w:val="auto"/>
        </w:rPr>
        <w:t>Предпазването на кариерата от дъждовни и снежни води – склонов отток, които могат да навлязат в нея от околните терени, ще се извършва чрез охранителни канавки. Тези води няма да имат контакт с кариерното поле и дейностите, предвидени с инвестиционното предложение няма да въздействат върху качествата им. Формираният вследствие на валежи и снеготопене водоотлив в кариерното поле ще бъде отвеждан гравитачно към водосборници (утайници) и ще се ползва за оросяване. В процеса на добивните работи дъното на кариерното поле ще се оформя с наклон по посока на водосборниците не по-малък от 1%. Изграждането и поддръжката на канавките и водосборниците ще се извършва с основната техника на кариерата – булдозер-разрохквача и багера.</w:t>
      </w:r>
    </w:p>
    <w:p>
      <w:pPr>
        <w:jc w:val="both"/>
        <w:ind w:left="9" w:firstLine="566"/>
        <w:spacing w:after="0" w:line="234" w:lineRule="auto"/>
        <w:rPr>
          <w:sz w:val="20"/>
          <w:szCs w:val="20"/>
          <w:color w:val="auto"/>
        </w:rPr>
      </w:pPr>
      <w:r>
        <w:rPr>
          <w:rFonts w:ascii="Times New Roman" w:cs="Times New Roman" w:eastAsia="Times New Roman" w:hAnsi="Times New Roman"/>
          <w:sz w:val="24"/>
          <w:szCs w:val="24"/>
          <w:color w:val="auto"/>
        </w:rPr>
        <w:t>Северозападно от вътрешната траншея, трябва да се оформи водосборник. Поради потъването на минните работи в дълбочина, той трябва да се удълбава периодично до кота 260 m, като минималните му размери в план не трябва да са по-малки от 20 на 10 m. При преместване на работния борд в посока запад-югозапад, при необходимост ще се изградят допълнителни шламоуловители, в близост с изградените вече.</w:t>
      </w:r>
    </w:p>
    <w:p>
      <w:pPr>
        <w:spacing w:after="0" w:line="4" w:lineRule="exact"/>
        <w:rPr>
          <w:sz w:val="20"/>
          <w:szCs w:val="20"/>
          <w:color w:val="auto"/>
        </w:rPr>
      </w:pPr>
    </w:p>
    <w:p>
      <w:pPr>
        <w:ind w:left="569"/>
        <w:spacing w:after="0"/>
        <w:rPr>
          <w:sz w:val="20"/>
          <w:szCs w:val="20"/>
          <w:color w:val="auto"/>
        </w:rPr>
      </w:pPr>
      <w:r>
        <w:rPr>
          <w:rFonts w:ascii="Times New Roman" w:cs="Times New Roman" w:eastAsia="Times New Roman" w:hAnsi="Times New Roman"/>
          <w:sz w:val="24"/>
          <w:szCs w:val="24"/>
          <w:color w:val="auto"/>
        </w:rPr>
        <w:t>Утайниците – шламоуловители ще имат приблизителен обем от 3000 m</w:t>
      </w:r>
      <w:r>
        <w:rPr>
          <w:rFonts w:ascii="Times New Roman" w:cs="Times New Roman" w:eastAsia="Times New Roman" w:hAnsi="Times New Roman"/>
          <w:sz w:val="32"/>
          <w:szCs w:val="32"/>
          <w:color w:val="auto"/>
          <w:vertAlign w:val="superscript"/>
        </w:rPr>
        <w:t>3</w:t>
      </w:r>
      <w:r>
        <w:rPr>
          <w:rFonts w:ascii="Times New Roman" w:cs="Times New Roman" w:eastAsia="Times New Roman" w:hAnsi="Times New Roman"/>
          <w:sz w:val="24"/>
          <w:szCs w:val="24"/>
          <w:color w:val="auto"/>
        </w:rPr>
        <w:t>.</w:t>
      </w:r>
    </w:p>
    <w:p>
      <w:pPr>
        <w:spacing w:after="0" w:line="57" w:lineRule="exact"/>
        <w:rPr>
          <w:sz w:val="20"/>
          <w:szCs w:val="20"/>
          <w:color w:val="auto"/>
        </w:rPr>
      </w:pPr>
    </w:p>
    <w:p>
      <w:pPr>
        <w:ind w:left="569"/>
        <w:spacing w:after="0"/>
        <w:rPr>
          <w:sz w:val="20"/>
          <w:szCs w:val="20"/>
          <w:color w:val="auto"/>
        </w:rPr>
      </w:pPr>
      <w:r>
        <w:rPr>
          <w:rFonts w:ascii="Times New Roman" w:cs="Times New Roman" w:eastAsia="Times New Roman" w:hAnsi="Times New Roman"/>
          <w:sz w:val="24"/>
          <w:szCs w:val="24"/>
          <w:b w:val="1"/>
          <w:bCs w:val="1"/>
          <w:i w:val="1"/>
          <w:iCs w:val="1"/>
          <w:color w:val="auto"/>
        </w:rPr>
        <w:t>3.1.5 Характеристика на очакваните продукти</w:t>
      </w:r>
    </w:p>
    <w:p>
      <w:pPr>
        <w:spacing w:after="0" w:line="1" w:lineRule="exact"/>
        <w:rPr>
          <w:sz w:val="20"/>
          <w:szCs w:val="20"/>
          <w:color w:val="auto"/>
        </w:rPr>
      </w:pPr>
    </w:p>
    <w:p>
      <w:pPr>
        <w:jc w:val="both"/>
        <w:ind w:left="9" w:firstLine="566"/>
        <w:spacing w:after="0"/>
        <w:rPr>
          <w:sz w:val="20"/>
          <w:szCs w:val="20"/>
          <w:color w:val="auto"/>
        </w:rPr>
      </w:pPr>
      <w:r>
        <w:rPr>
          <w:rFonts w:ascii="Times New Roman" w:cs="Times New Roman" w:eastAsia="Times New Roman" w:hAnsi="Times New Roman"/>
          <w:sz w:val="24"/>
          <w:szCs w:val="24"/>
          <w:color w:val="auto"/>
        </w:rPr>
        <w:t xml:space="preserve">Глауконитовите пясъчници като правило са изградени основно от глауконит (над 50%). Глауконитът (от гръцки glaucos – дълбоко зелен) е минерал от групата на хидрослюдите, подклас слоисти силикати и представлява воден алумосиликат на K, Mg и Fe. Цветът му е светлозелен до тъмно масленозелен и поради това синонимът му в световен мащаб е </w:t>
      </w:r>
      <w:r>
        <w:rPr>
          <w:rFonts w:ascii="Times New Roman" w:cs="Times New Roman" w:eastAsia="Times New Roman" w:hAnsi="Times New Roman"/>
          <w:sz w:val="24"/>
          <w:szCs w:val="24"/>
          <w:b w:val="1"/>
          <w:bCs w:val="1"/>
          <w:color w:val="auto"/>
        </w:rPr>
        <w:t>„зелена земя”</w:t>
      </w:r>
      <w:r>
        <w:rPr>
          <w:rFonts w:ascii="Times New Roman" w:cs="Times New Roman" w:eastAsia="Times New Roman" w:hAnsi="Times New Roman"/>
          <w:sz w:val="24"/>
          <w:szCs w:val="24"/>
          <w:color w:val="auto"/>
        </w:rPr>
        <w:t>. Образуването му или по-точно произхода му се свързва с химични утайки, натрупани в прибрежните зони на моретата и океаните, като в най-голяма степен асоциира с пясъчници, мергели и фосфорити.</w:t>
      </w:r>
    </w:p>
    <w:p>
      <w:pPr>
        <w:jc w:val="both"/>
        <w:ind w:left="9" w:firstLine="566"/>
        <w:spacing w:after="0"/>
        <w:rPr>
          <w:sz w:val="20"/>
          <w:szCs w:val="20"/>
          <w:color w:val="auto"/>
        </w:rPr>
      </w:pPr>
      <w:r>
        <w:rPr>
          <w:rFonts w:ascii="Times New Roman" w:cs="Times New Roman" w:eastAsia="Times New Roman" w:hAnsi="Times New Roman"/>
          <w:sz w:val="24"/>
          <w:szCs w:val="24"/>
          <w:color w:val="auto"/>
        </w:rPr>
        <w:t>Глауконитът е автогенен минерал, образуван в морска среда в редукционно-окислителни условия. Синтезира се от тинести разтвори, носители на Si, Fe, Al, Mg и абсорбира K по време на диагенезата. Притежава като правило високи абсорбционни и катионни обменни свойства. Глауконитът – този глинест минерал с променлив състав и високо съдържание на дву- и тривалентно Fe, Ca, Mg, K и P, съдържа и повече от 20 микроелемента, сред които Cu, Ag, Ni, Co, Mn, Zn, Mo, Sb, Cr, Be, Cd и др. Изключително важна негова особеност е, че всички тези елементи се намират във вид на лесно извлекаема форма. Поради слоистата му структура много лесно се реализира смяната на катиони, които се заместват от елементи, които се намират в излишък в окръжаващата среда.</w:t>
      </w:r>
    </w:p>
    <w:p>
      <w:pPr>
        <w:jc w:val="both"/>
        <w:ind w:left="9" w:firstLine="566"/>
        <w:spacing w:after="0"/>
        <w:rPr>
          <w:sz w:val="20"/>
          <w:szCs w:val="20"/>
          <w:color w:val="auto"/>
        </w:rPr>
      </w:pPr>
      <w:r>
        <w:rPr>
          <w:rFonts w:ascii="Times New Roman" w:cs="Times New Roman" w:eastAsia="Times New Roman" w:hAnsi="Times New Roman"/>
          <w:sz w:val="24"/>
          <w:szCs w:val="24"/>
          <w:color w:val="auto"/>
        </w:rPr>
        <w:t>Йонообменната способност на глауконита е от 0.1 до 0.4 мол/кг. Пористостта му е 23-25%, твърдост - 1.3-2.0; плътност 1,8-3.0; размера на изграждащите го частици е от 0,03 до 0,65 mm.</w:t>
      </w:r>
    </w:p>
    <w:p>
      <w:pPr>
        <w:jc w:val="both"/>
        <w:ind w:left="9" w:firstLine="566"/>
        <w:spacing w:after="0" w:line="248" w:lineRule="auto"/>
        <w:rPr>
          <w:sz w:val="20"/>
          <w:szCs w:val="20"/>
          <w:color w:val="auto"/>
        </w:rPr>
      </w:pPr>
      <w:r>
        <w:rPr>
          <w:rFonts w:ascii="Times New Roman" w:cs="Times New Roman" w:eastAsia="Times New Roman" w:hAnsi="Times New Roman"/>
          <w:sz w:val="24"/>
          <w:szCs w:val="24"/>
          <w:color w:val="auto"/>
        </w:rPr>
        <w:t>Благодарение на своите специфични свойства (слоиста структура и активни катиони) глауконитът представлява изключително ценна суровина с различни предназначения в селското стопанство за производство на естествени минерални торове с комплексно многофакторно въздействие. Възниква закономерно въпросът –„за сметка на какво би могло да се получава такава висока ефективност на глауконита?”.</w:t>
      </w:r>
    </w:p>
    <w:p>
      <w:pPr>
        <w:spacing w:after="0" w:line="187" w:lineRule="exact"/>
        <w:rPr>
          <w:sz w:val="20"/>
          <w:szCs w:val="20"/>
          <w:color w:val="auto"/>
        </w:rPr>
      </w:pPr>
    </w:p>
    <w:p>
      <w:pPr>
        <w:ind w:left="10209"/>
        <w:spacing w:after="0"/>
        <w:rPr>
          <w:sz w:val="20"/>
          <w:szCs w:val="20"/>
          <w:color w:val="auto"/>
        </w:rPr>
      </w:pPr>
      <w:r>
        <w:rPr>
          <w:rFonts w:ascii="Times New Roman" w:cs="Times New Roman" w:eastAsia="Times New Roman" w:hAnsi="Times New Roman"/>
          <w:sz w:val="20"/>
          <w:szCs w:val="20"/>
          <w:color w:val="auto"/>
        </w:rPr>
        <w:t>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-60325</wp:posOffset>
            </wp:positionV>
            <wp:extent cx="6438900" cy="2857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extLst>
                        <a:ext uri="{28A0092B-C50C-407E-A947-70E740481C1C}"/>
                      </a:extLst>
                    </a:blip>
                    <a:srcRect/>
                    <a:stretch>
                      <a:fillRect/>
                    </a:stretch>
                  </pic:blipFill>
                  <pic:spPr bwMode="auto">
                    <a:xfrm>
                      <a:off x="0" y="0"/>
                      <a:ext cx="6438900" cy="28575"/>
                    </a:xfrm>
                    <a:prstGeom prst="rect">
                      <a:avLst/>
                    </a:prstGeom>
                    <a:noFill/>
                  </pic:spPr>
                </pic:pic>
              </a:graphicData>
            </a:graphic>
          </wp:anchor>
        </w:drawing>
      </w:r>
    </w:p>
    <w:p>
      <w:pPr>
        <w:sectPr>
          <w:pgSz w:w="11920" w:h="16850" w:orient="portrait"/>
          <w:cols w:equalWidth="0" w:num="1">
            <w:col w:w="10349"/>
          </w:cols>
          <w:pgMar w:left="991" w:top="376" w:right="571" w:bottom="0" w:gutter="0" w:footer="0" w:header="0"/>
        </w:sectPr>
      </w:pPr>
    </w:p>
    <w:p>
      <w:pPr>
        <w:spacing w:after="0" w:line="2" w:lineRule="exact"/>
        <w:rPr>
          <w:sz w:val="20"/>
          <w:szCs w:val="20"/>
          <w:color w:val="auto"/>
        </w:rPr>
      </w:pPr>
    </w:p>
    <w:p>
      <w:pPr>
        <w:jc w:val="center"/>
        <w:ind w:right="6691"/>
        <w:spacing w:after="0"/>
        <w:rPr>
          <w:sz w:val="20"/>
          <w:szCs w:val="20"/>
          <w:color w:val="auto"/>
        </w:rPr>
      </w:pPr>
      <w:r>
        <w:rPr>
          <w:rFonts w:ascii="Times New Roman" w:cs="Times New Roman" w:eastAsia="Times New Roman" w:hAnsi="Times New Roman"/>
          <w:sz w:val="15"/>
          <w:szCs w:val="15"/>
          <w:b w:val="1"/>
          <w:bCs w:val="1"/>
          <w:color w:val="999999"/>
        </w:rPr>
        <w:t>Титуляр: „БН-КОНСУЛТ-ИНЖЕНИРИНГ” ООД</w:t>
      </w:r>
    </w:p>
    <w:p>
      <w:pPr>
        <w:spacing w:after="0" w:line="12" w:lineRule="exact"/>
        <w:rPr>
          <w:sz w:val="20"/>
          <w:szCs w:val="20"/>
          <w:color w:val="auto"/>
        </w:rPr>
      </w:pPr>
    </w:p>
    <w:p>
      <w:pPr>
        <w:jc w:val="center"/>
        <w:ind w:right="6811"/>
        <w:spacing w:after="0"/>
        <w:rPr>
          <w:sz w:val="20"/>
          <w:szCs w:val="20"/>
          <w:color w:val="auto"/>
        </w:rPr>
      </w:pPr>
      <w:r>
        <w:rPr>
          <w:rFonts w:ascii="Times New Roman" w:cs="Times New Roman" w:eastAsia="Times New Roman" w:hAnsi="Times New Roman"/>
          <w:sz w:val="16"/>
          <w:szCs w:val="16"/>
          <w:b w:val="1"/>
          <w:bCs w:val="1"/>
          <w:color w:val="999999"/>
        </w:rPr>
        <w:t>гр. София</w:t>
      </w:r>
    </w:p>
    <w:p>
      <w:pPr>
        <w:sectPr>
          <w:pgSz w:w="11920" w:h="16850" w:orient="portrait"/>
          <w:cols w:equalWidth="0" w:num="1">
            <w:col w:w="10349"/>
          </w:cols>
          <w:pgMar w:left="991" w:top="376" w:right="571" w:bottom="0" w:gutter="0" w:footer="0" w:header="0"/>
          <w:type w:val="continuous"/>
        </w:sectPr>
      </w:pPr>
    </w:p>
    <w:p>
      <w:pPr>
        <w:jc w:val="both"/>
        <w:spacing w:after="0" w:line="255" w:lineRule="auto"/>
        <w:rPr>
          <w:sz w:val="20"/>
          <w:szCs w:val="20"/>
          <w:color w:val="auto"/>
        </w:rPr>
      </w:pPr>
      <w:r>
        <w:rPr>
          <w:rFonts w:ascii="Times New Roman" w:cs="Times New Roman" w:eastAsia="Times New Roman" w:hAnsi="Times New Roman"/>
          <w:sz w:val="20"/>
          <w:szCs w:val="20"/>
          <w:b w:val="1"/>
          <w:bCs w:val="1"/>
          <w:color w:val="auto"/>
        </w:rPr>
        <w:t xml:space="preserve">ПРЕДЛОЖЕНИЕ ЗА УПРАВЛЕНИЕ НА МИННИТЕ ОТПАДЪЦИ при осъществяване на инвестиционно предложение: „Добив на подземни богатства – индустриални минерали - глауконитови пясъчници от находище </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b w:val="1"/>
          <w:bCs w:val="1"/>
          <w:color w:val="auto"/>
        </w:rPr>
        <w:t>ГЛОРИЯ</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b w:val="1"/>
          <w:bCs w:val="1"/>
          <w:color w:val="auto"/>
        </w:rPr>
        <w:t>,</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разположено в землищата на с.</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Мало Пещене и с.</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Голямо Пещене,</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община Враца,</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област Враца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-12700</wp:posOffset>
                </wp:positionH>
                <wp:positionV relativeFrom="paragraph">
                  <wp:posOffset>15875</wp:posOffset>
                </wp:positionV>
                <wp:extent cx="6553200" cy="0"/>
                <wp:wrapNone/>
                <wp:docPr id="32" name="Shape 3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53200" cy="4763"/>
                        </a:xfrm>
                        <a:prstGeom prst="line">
                          <a:avLst/>
                        </a:prstGeom>
                        <a:solidFill>
                          <a:srgbClr val="FFFFFF"/>
                        </a:solidFill>
                        <a:ln w="9525">
                          <a:solidFill>
                            <a:srgbClr val="969696"/>
                          </a:solidFill>
                          <a:miter lim="800000"/>
                          <a:headEnd/>
                          <a:tailEnd/>
                        </a:ln>
                      </wps:spPr>
                      <wps:bodyPr/>
                    </wps:wsp>
                  </a:graphicData>
                </a:graphic>
              </wp:anchor>
            </w:drawing>
          </mc:Choice>
          <mc:Fallback>
            <w:pict>
              <v:line id="Shape 32" o:spid="_x0000_s105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pt,1.25pt" to="515pt,1.25pt" o:allowincell="f" strokecolor="#969696" strokeweight="0.75pt"/>
            </w:pict>
          </mc:Fallback>
        </mc:AlternateContent>
      </w:r>
    </w:p>
    <w:p>
      <w:pPr>
        <w:spacing w:after="0" w:line="155" w:lineRule="exact"/>
        <w:rPr>
          <w:sz w:val="20"/>
          <w:szCs w:val="20"/>
          <w:color w:val="auto"/>
        </w:rPr>
      </w:pPr>
    </w:p>
    <w:p>
      <w:pPr>
        <w:jc w:val="both"/>
        <w:ind w:firstLine="566"/>
        <w:spacing w:after="0"/>
        <w:rPr>
          <w:sz w:val="20"/>
          <w:szCs w:val="20"/>
          <w:color w:val="auto"/>
        </w:rPr>
      </w:pPr>
      <w:r>
        <w:rPr>
          <w:rFonts w:ascii="Times New Roman" w:cs="Times New Roman" w:eastAsia="Times New Roman" w:hAnsi="Times New Roman"/>
          <w:sz w:val="24"/>
          <w:szCs w:val="24"/>
          <w:color w:val="auto"/>
        </w:rPr>
        <w:t>Множеството изследвания и практически опит в световен мащаб свидетелствуват, че това е възможно поради следните механизми на въздействие върху почвата и растенията:</w:t>
      </w:r>
    </w:p>
    <w:p>
      <w:pPr>
        <w:jc w:val="both"/>
        <w:ind w:firstLine="566"/>
        <w:spacing w:after="0"/>
        <w:rPr>
          <w:sz w:val="20"/>
          <w:szCs w:val="20"/>
          <w:color w:val="auto"/>
        </w:rPr>
      </w:pPr>
      <w:r>
        <w:rPr>
          <w:rFonts w:ascii="Times New Roman" w:cs="Times New Roman" w:eastAsia="Times New Roman" w:hAnsi="Times New Roman"/>
          <w:sz w:val="24"/>
          <w:szCs w:val="24"/>
          <w:color w:val="auto"/>
        </w:rPr>
        <w:t>Глауконитът е източник не само на макрохранителни елементи за растенията (K, Na, P ), а преди всичко средство за подобряване структурата на почвата и съхраняване на почвената влага.</w:t>
      </w:r>
    </w:p>
    <w:p>
      <w:pPr>
        <w:jc w:val="both"/>
        <w:ind w:firstLine="566"/>
        <w:spacing w:after="0"/>
        <w:rPr>
          <w:sz w:val="20"/>
          <w:szCs w:val="20"/>
          <w:color w:val="auto"/>
        </w:rPr>
      </w:pPr>
      <w:r>
        <w:rPr>
          <w:rFonts w:ascii="Times New Roman" w:cs="Times New Roman" w:eastAsia="Times New Roman" w:hAnsi="Times New Roman"/>
          <w:sz w:val="24"/>
          <w:szCs w:val="24"/>
          <w:color w:val="auto"/>
        </w:rPr>
        <w:t>Високата отделителна повърхност на глауконита му позвлява да сорбира йони и равномерно да ги разпределя в период на вегетация, повишавайки темпа на ефективност на минералния тор.</w:t>
      </w:r>
    </w:p>
    <w:p>
      <w:pPr>
        <w:jc w:val="both"/>
        <w:ind w:firstLine="558"/>
        <w:spacing w:after="0"/>
        <w:tabs>
          <w:tab w:leader="none" w:pos="814" w:val="left"/>
        </w:tabs>
        <w:numPr>
          <w:ilvl w:val="0"/>
          <w:numId w:val="14"/>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никакъв случай не следва да се подценява и обстоятелството, че в глауконита присъстват редица микроелементи (Co, Zn, Mn и др.), които могат да оказват стимулиращо въздействие върху ръста и цялостното развитие на растенията.</w:t>
      </w:r>
    </w:p>
    <w:p>
      <w:pPr>
        <w:jc w:val="both"/>
        <w:ind w:firstLine="566"/>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Високата поглъщаща и йонообменна способност на глауконита повишава водозадържащите му свойства, което съдейства за по-продължителното и по-ефективно използване на хранителните елементи, съдържащи се в почвата.</w:t>
      </w:r>
    </w:p>
    <w:p>
      <w:pPr>
        <w:jc w:val="both"/>
        <w:ind w:firstLine="566"/>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Глауконитовите пясъчници привличат вниманието вече в много страни с ниската себестойност на продукта, високите стойности на калия и възможността за освобождаването на лесноусвоими съединения в продължение на много дълъг период от време.</w:t>
      </w:r>
    </w:p>
    <w:p>
      <w:pPr>
        <w:jc w:val="both"/>
        <w:ind w:firstLine="566"/>
        <w:spacing w:after="0" w:line="244"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Като се има предвид натрупания световен и местен опит в изследването, преработването и употребата на глауконита в различни сектори на селското стопанство, проученото глауконитови пясъчници от находище „Глория” следва да се разглеждат като изходна суровина за производство на естествен комплексен глауконитов тор с многофакторно влияние не само с набогатяване на почвите с хранителни (K, P, Mn) и микроелементи (Cu, Zn, Mg, B, Fe и др.), но и с изключително значение за подобряване на нейната структура, препятствайки износа на летливи вещества, съхранява влагата, стимулира ръста и понижава заболеваемостта на растенията и то за един сравнително дълъг период от време 20-25 г.</w:t>
      </w:r>
    </w:p>
    <w:p>
      <w:pPr>
        <w:spacing w:after="0" w:line="82" w:lineRule="exact"/>
        <w:rPr>
          <w:sz w:val="20"/>
          <w:szCs w:val="20"/>
          <w:color w:val="auto"/>
        </w:rPr>
      </w:pPr>
    </w:p>
    <w:p>
      <w:pPr>
        <w:ind w:left="560"/>
        <w:spacing w:after="0"/>
        <w:rPr>
          <w:sz w:val="20"/>
          <w:szCs w:val="20"/>
          <w:color w:val="auto"/>
        </w:rPr>
      </w:pPr>
      <w:r>
        <w:rPr>
          <w:rFonts w:ascii="Times New Roman" w:cs="Times New Roman" w:eastAsia="Times New Roman" w:hAnsi="Times New Roman"/>
          <w:sz w:val="24"/>
          <w:szCs w:val="24"/>
          <w:b w:val="1"/>
          <w:bCs w:val="1"/>
          <w:i w:val="1"/>
          <w:iCs w:val="1"/>
          <w:color w:val="auto"/>
        </w:rPr>
        <w:t>3.2 Геоложки данни за находище „Глория“</w:t>
      </w:r>
    </w:p>
    <w:p>
      <w:pPr>
        <w:spacing w:after="0" w:line="117" w:lineRule="exact"/>
        <w:rPr>
          <w:sz w:val="20"/>
          <w:szCs w:val="20"/>
          <w:color w:val="auto"/>
        </w:rPr>
      </w:pPr>
    </w:p>
    <w:p>
      <w:pPr>
        <w:ind w:left="560"/>
        <w:spacing w:after="0"/>
        <w:rPr>
          <w:sz w:val="20"/>
          <w:szCs w:val="20"/>
          <w:color w:val="auto"/>
        </w:rPr>
      </w:pPr>
      <w:r>
        <w:rPr>
          <w:rFonts w:ascii="Times New Roman" w:cs="Times New Roman" w:eastAsia="Times New Roman" w:hAnsi="Times New Roman"/>
          <w:sz w:val="24"/>
          <w:szCs w:val="24"/>
          <w:b w:val="1"/>
          <w:bCs w:val="1"/>
          <w:i w:val="1"/>
          <w:iCs w:val="1"/>
          <w:color w:val="auto"/>
        </w:rPr>
        <w:t>3.2.1 Характеристика на находището</w:t>
      </w:r>
    </w:p>
    <w:p>
      <w:pPr>
        <w:ind w:left="560"/>
        <w:spacing w:after="0"/>
        <w:rPr>
          <w:sz w:val="20"/>
          <w:szCs w:val="20"/>
          <w:color w:val="auto"/>
        </w:rPr>
      </w:pPr>
      <w:r>
        <w:rPr>
          <w:rFonts w:ascii="Times New Roman" w:cs="Times New Roman" w:eastAsia="Times New Roman" w:hAnsi="Times New Roman"/>
          <w:sz w:val="24"/>
          <w:szCs w:val="24"/>
          <w:i w:val="1"/>
          <w:iCs w:val="1"/>
          <w:color w:val="auto"/>
        </w:rPr>
        <w:t>Форма и размери, количество на запасите</w:t>
      </w:r>
    </w:p>
    <w:p>
      <w:pPr>
        <w:spacing w:after="0" w:line="4" w:lineRule="exact"/>
        <w:rPr>
          <w:sz w:val="20"/>
          <w:szCs w:val="20"/>
          <w:color w:val="auto"/>
        </w:rPr>
      </w:pPr>
    </w:p>
    <w:p>
      <w:pPr>
        <w:jc w:val="both"/>
        <w:ind w:firstLine="566"/>
        <w:spacing w:after="0" w:line="233" w:lineRule="auto"/>
        <w:rPr>
          <w:sz w:val="20"/>
          <w:szCs w:val="20"/>
          <w:color w:val="auto"/>
        </w:rPr>
      </w:pPr>
      <w:r>
        <w:rPr>
          <w:rFonts w:ascii="Times New Roman" w:cs="Times New Roman" w:eastAsia="Times New Roman" w:hAnsi="Times New Roman"/>
          <w:sz w:val="24"/>
          <w:szCs w:val="24"/>
          <w:color w:val="auto"/>
        </w:rPr>
        <w:t xml:space="preserve">Глауконитовите пясъчници в находище „Глория” са с дебелина не по-малко от 40-45 m и могат да се разграничат в два хоризонта: </w:t>
      </w:r>
      <w:r>
        <w:rPr>
          <w:rFonts w:ascii="Times New Roman" w:cs="Times New Roman" w:eastAsia="Times New Roman" w:hAnsi="Times New Roman"/>
          <w:sz w:val="24"/>
          <w:szCs w:val="24"/>
          <w:b w:val="1"/>
          <w:bCs w:val="1"/>
          <w:color w:val="auto"/>
        </w:rPr>
        <w:t>Горен</w:t>
      </w:r>
      <w:r>
        <w:rPr>
          <w:rFonts w:ascii="Times New Roman" w:cs="Times New Roman" w:eastAsia="Times New Roman" w:hAnsi="Times New Roman"/>
          <w:sz w:val="24"/>
          <w:szCs w:val="24"/>
          <w:color w:val="auto"/>
        </w:rPr>
        <w:t xml:space="preserve">- изграден от глауконитови пясъчници с много характерен светлозелен до тревисто зелен цвят; </w:t>
      </w:r>
      <w:r>
        <w:rPr>
          <w:rFonts w:ascii="Times New Roman" w:cs="Times New Roman" w:eastAsia="Times New Roman" w:hAnsi="Times New Roman"/>
          <w:sz w:val="24"/>
          <w:szCs w:val="24"/>
          <w:b w:val="1"/>
          <w:bCs w:val="1"/>
          <w:color w:val="auto"/>
        </w:rPr>
        <w:t>Долен</w:t>
      </w:r>
      <w:r>
        <w:rPr>
          <w:rFonts w:ascii="Times New Roman" w:cs="Times New Roman" w:eastAsia="Times New Roman" w:hAnsi="Times New Roman"/>
          <w:sz w:val="24"/>
          <w:szCs w:val="24"/>
          <w:color w:val="auto"/>
        </w:rPr>
        <w:t xml:space="preserve"> – изграден от сравнително по-плътни пластове от глауконитови пясъчници с тъмнозелен до сив цвят.</w:t>
      </w:r>
    </w:p>
    <w:p>
      <w:pPr>
        <w:spacing w:after="0" w:line="2" w:lineRule="exact"/>
        <w:rPr>
          <w:sz w:val="20"/>
          <w:szCs w:val="20"/>
          <w:color w:val="auto"/>
        </w:rPr>
      </w:pPr>
    </w:p>
    <w:p>
      <w:pPr>
        <w:jc w:val="both"/>
        <w:ind w:firstLine="558"/>
        <w:spacing w:after="0" w:line="186" w:lineRule="auto"/>
        <w:tabs>
          <w:tab w:leader="none" w:pos="828" w:val="left"/>
        </w:tabs>
        <w:numPr>
          <w:ilvl w:val="1"/>
          <w:numId w:val="15"/>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находище “ГЛОРИЯ” са оконтурени и изчислени 17 390 931 m</w:t>
      </w:r>
      <w:r>
        <w:rPr>
          <w:rFonts w:ascii="Times New Roman" w:cs="Times New Roman" w:eastAsia="Times New Roman" w:hAnsi="Times New Roman"/>
          <w:sz w:val="32"/>
          <w:szCs w:val="32"/>
          <w:color w:val="auto"/>
          <w:vertAlign w:val="superscript"/>
        </w:rPr>
        <w:t>3</w:t>
      </w:r>
      <w:r>
        <w:rPr>
          <w:rFonts w:ascii="Times New Roman" w:cs="Times New Roman" w:eastAsia="Times New Roman" w:hAnsi="Times New Roman"/>
          <w:sz w:val="24"/>
          <w:szCs w:val="24"/>
          <w:color w:val="auto"/>
        </w:rPr>
        <w:t xml:space="preserve"> запаси от глауконитови пясъчници (Блок 1 - </w:t>
      </w:r>
      <w:r>
        <w:rPr>
          <w:rFonts w:ascii="Times New Roman" w:cs="Times New Roman" w:eastAsia="Times New Roman" w:hAnsi="Times New Roman"/>
          <w:sz w:val="24"/>
          <w:szCs w:val="24"/>
          <w:i w:val="1"/>
          <w:iCs w:val="1"/>
          <w:color w:val="auto"/>
        </w:rPr>
        <w:t>доказани</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i w:val="1"/>
          <w:iCs w:val="1"/>
          <w:color w:val="auto"/>
        </w:rPr>
        <w:t>– 4 193 581 m</w:t>
      </w:r>
      <w:r>
        <w:rPr>
          <w:rFonts w:ascii="Times New Roman" w:cs="Times New Roman" w:eastAsia="Times New Roman" w:hAnsi="Times New Roman"/>
          <w:sz w:val="32"/>
          <w:szCs w:val="32"/>
          <w:i w:val="1"/>
          <w:iCs w:val="1"/>
          <w:color w:val="auto"/>
          <w:vertAlign w:val="superscript"/>
        </w:rPr>
        <w:t>3</w:t>
      </w:r>
      <w:r>
        <w:rPr>
          <w:rFonts w:ascii="Times New Roman" w:cs="Times New Roman" w:eastAsia="Times New Roman" w:hAnsi="Times New Roman"/>
          <w:sz w:val="24"/>
          <w:szCs w:val="24"/>
          <w:i w:val="1"/>
          <w:iCs w:val="1"/>
          <w:color w:val="auto"/>
        </w:rPr>
        <w:t>,</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i w:val="1"/>
          <w:iCs w:val="1"/>
          <w:color w:val="auto"/>
        </w:rPr>
        <w:t>Блок</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i w:val="1"/>
          <w:iCs w:val="1"/>
          <w:color w:val="auto"/>
        </w:rPr>
        <w:t>2</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i w:val="1"/>
          <w:iCs w:val="1"/>
          <w:color w:val="auto"/>
        </w:rPr>
        <w:t>–</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i w:val="1"/>
          <w:iCs w:val="1"/>
          <w:color w:val="auto"/>
        </w:rPr>
        <w:t>вероятни</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i w:val="1"/>
          <w:iCs w:val="1"/>
          <w:color w:val="auto"/>
        </w:rPr>
        <w:t>–</w:t>
      </w:r>
      <w:r>
        <w:rPr>
          <w:rFonts w:ascii="Times New Roman" w:cs="Times New Roman" w:eastAsia="Times New Roman" w:hAnsi="Times New Roman"/>
          <w:sz w:val="24"/>
          <w:szCs w:val="24"/>
          <w:color w:val="auto"/>
        </w:rPr>
        <w:t xml:space="preserve">6 859 321 </w:t>
      </w:r>
      <w:r>
        <w:rPr>
          <w:rFonts w:ascii="Times New Roman" w:cs="Times New Roman" w:eastAsia="Times New Roman" w:hAnsi="Times New Roman"/>
          <w:sz w:val="24"/>
          <w:szCs w:val="24"/>
          <w:i w:val="1"/>
          <w:iCs w:val="1"/>
          <w:color w:val="auto"/>
        </w:rPr>
        <w:t>m</w:t>
      </w:r>
      <w:r>
        <w:rPr>
          <w:rFonts w:ascii="Times New Roman" w:cs="Times New Roman" w:eastAsia="Times New Roman" w:hAnsi="Times New Roman"/>
          <w:sz w:val="32"/>
          <w:szCs w:val="32"/>
          <w:i w:val="1"/>
          <w:iCs w:val="1"/>
          <w:color w:val="auto"/>
          <w:vertAlign w:val="superscript"/>
        </w:rPr>
        <w:t>3</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i w:val="1"/>
          <w:iCs w:val="1"/>
          <w:color w:val="auto"/>
        </w:rPr>
        <w:t>и Блок</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i w:val="1"/>
          <w:iCs w:val="1"/>
          <w:color w:val="auto"/>
        </w:rPr>
        <w:t>3</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i w:val="1"/>
          <w:iCs w:val="1"/>
          <w:color w:val="auto"/>
        </w:rPr>
        <w:t>–</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i w:val="1"/>
          <w:iCs w:val="1"/>
          <w:color w:val="auto"/>
        </w:rPr>
        <w:t>прогнозни</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i w:val="1"/>
          <w:iCs w:val="1"/>
          <w:color w:val="auto"/>
        </w:rPr>
        <w:t>ресурси - 6 338 029 m</w:t>
      </w:r>
      <w:r>
        <w:rPr>
          <w:rFonts w:ascii="Times New Roman" w:cs="Times New Roman" w:eastAsia="Times New Roman" w:hAnsi="Times New Roman"/>
          <w:sz w:val="32"/>
          <w:szCs w:val="32"/>
          <w:i w:val="1"/>
          <w:iCs w:val="1"/>
          <w:color w:val="auto"/>
          <w:vertAlign w:val="superscript"/>
        </w:rPr>
        <w:t>3</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по състояние към</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30.04.2015</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г.</w:t>
      </w:r>
    </w:p>
    <w:p>
      <w:pPr>
        <w:spacing w:after="0" w:line="3" w:lineRule="exact"/>
        <w:rPr>
          <w:rFonts w:ascii="Times New Roman" w:cs="Times New Roman" w:eastAsia="Times New Roman" w:hAnsi="Times New Roman"/>
          <w:sz w:val="24"/>
          <w:szCs w:val="24"/>
          <w:color w:val="auto"/>
        </w:rPr>
      </w:pPr>
    </w:p>
    <w:p>
      <w:pPr>
        <w:ind w:left="560"/>
        <w:spacing w:after="0" w:line="180"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Обемът на откривката за находището е 2 172 227 m</w:t>
      </w:r>
      <w:r>
        <w:rPr>
          <w:rFonts w:ascii="Times New Roman" w:cs="Times New Roman" w:eastAsia="Times New Roman" w:hAnsi="Times New Roman"/>
          <w:sz w:val="32"/>
          <w:szCs w:val="32"/>
          <w:color w:val="auto"/>
          <w:vertAlign w:val="superscript"/>
        </w:rPr>
        <w:t>3</w:t>
      </w:r>
      <w:r>
        <w:rPr>
          <w:rFonts w:ascii="Times New Roman" w:cs="Times New Roman" w:eastAsia="Times New Roman" w:hAnsi="Times New Roman"/>
          <w:sz w:val="24"/>
          <w:szCs w:val="24"/>
          <w:color w:val="auto"/>
        </w:rPr>
        <w:t>. Запасите са изчислени за два хоризонта</w:t>
      </w:r>
    </w:p>
    <w:p>
      <w:pPr>
        <w:jc w:val="both"/>
        <w:spacing w:after="0" w:line="205"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 горен (I</w:t>
      </w:r>
      <w:r>
        <w:rPr>
          <w:rFonts w:ascii="Times New Roman" w:cs="Times New Roman" w:eastAsia="Times New Roman" w:hAnsi="Times New Roman"/>
          <w:sz w:val="32"/>
          <w:szCs w:val="32"/>
          <w:color w:val="auto"/>
          <w:vertAlign w:val="superscript"/>
        </w:rPr>
        <w:t>-ви</w:t>
      </w:r>
      <w:r>
        <w:rPr>
          <w:rFonts w:ascii="Times New Roman" w:cs="Times New Roman" w:eastAsia="Times New Roman" w:hAnsi="Times New Roman"/>
          <w:sz w:val="24"/>
          <w:szCs w:val="24"/>
          <w:color w:val="auto"/>
        </w:rPr>
        <w:t>) и долен (II</w:t>
      </w:r>
      <w:r>
        <w:rPr>
          <w:rFonts w:ascii="Times New Roman" w:cs="Times New Roman" w:eastAsia="Times New Roman" w:hAnsi="Times New Roman"/>
          <w:sz w:val="32"/>
          <w:szCs w:val="32"/>
          <w:color w:val="auto"/>
          <w:vertAlign w:val="superscript"/>
        </w:rPr>
        <w:t>-ри</w:t>
      </w:r>
      <w:r>
        <w:rPr>
          <w:rFonts w:ascii="Times New Roman" w:cs="Times New Roman" w:eastAsia="Times New Roman" w:hAnsi="Times New Roman"/>
          <w:sz w:val="24"/>
          <w:szCs w:val="24"/>
          <w:color w:val="auto"/>
        </w:rPr>
        <w:t>). Средната дебелина за горния хоризонт е 17,45 m за Блок 1, 14,88 m за Блок 2 и 14,88 m за Блок 3, а за долния хоризонт е съответно 17,97 m за Блок 1, 18,60 m за Блок 2 и</w:t>
      </w:r>
    </w:p>
    <w:p>
      <w:pPr>
        <w:spacing w:after="0" w:line="1" w:lineRule="exact"/>
        <w:rPr>
          <w:rFonts w:ascii="Times New Roman" w:cs="Times New Roman" w:eastAsia="Times New Roman" w:hAnsi="Times New Roman"/>
          <w:sz w:val="24"/>
          <w:szCs w:val="24"/>
          <w:color w:val="auto"/>
        </w:rPr>
      </w:pPr>
    </w:p>
    <w:p>
      <w:pPr>
        <w:spacing w:after="0" w:line="236"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17,50 m за Блок 3.</w:t>
      </w:r>
    </w:p>
    <w:p>
      <w:pPr>
        <w:ind w:left="560"/>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i w:val="1"/>
          <w:iCs w:val="1"/>
          <w:color w:val="auto"/>
        </w:rPr>
        <w:t>Минераложка и петрографска характеристика</w:t>
      </w:r>
    </w:p>
    <w:p>
      <w:pPr>
        <w:spacing w:after="0" w:line="3" w:lineRule="exact"/>
        <w:rPr>
          <w:rFonts w:ascii="Times New Roman" w:cs="Times New Roman" w:eastAsia="Times New Roman" w:hAnsi="Times New Roman"/>
          <w:sz w:val="24"/>
          <w:szCs w:val="24"/>
          <w:color w:val="auto"/>
        </w:rPr>
      </w:pPr>
    </w:p>
    <w:p>
      <w:pPr>
        <w:ind w:firstLine="566"/>
        <w:spacing w:after="0" w:line="205"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Глауконитовите пясъчници, изграждащи основната част от разреза на горния (I</w:t>
      </w:r>
      <w:r>
        <w:rPr>
          <w:rFonts w:ascii="Times New Roman" w:cs="Times New Roman" w:eastAsia="Times New Roman" w:hAnsi="Times New Roman"/>
          <w:sz w:val="32"/>
          <w:szCs w:val="32"/>
          <w:color w:val="auto"/>
          <w:vertAlign w:val="superscript"/>
        </w:rPr>
        <w:t>-ви</w:t>
      </w:r>
      <w:r>
        <w:rPr>
          <w:rFonts w:ascii="Times New Roman" w:cs="Times New Roman" w:eastAsia="Times New Roman" w:hAnsi="Times New Roman"/>
          <w:sz w:val="24"/>
          <w:szCs w:val="24"/>
          <w:color w:val="auto"/>
        </w:rPr>
        <w:t>) хоризонт на Малопещенската свита, се характеризират със следните си особености:</w:t>
      </w:r>
    </w:p>
    <w:p>
      <w:pPr>
        <w:spacing w:after="0" w:line="1" w:lineRule="exact"/>
        <w:rPr>
          <w:rFonts w:ascii="Times New Roman" w:cs="Times New Roman" w:eastAsia="Times New Roman" w:hAnsi="Times New Roman"/>
          <w:sz w:val="24"/>
          <w:szCs w:val="24"/>
          <w:color w:val="auto"/>
        </w:rPr>
      </w:pPr>
    </w:p>
    <w:p>
      <w:pPr>
        <w:ind w:left="560"/>
        <w:spacing w:after="0" w:line="236"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Минералният състав е както следва:</w:t>
      </w:r>
    </w:p>
    <w:p>
      <w:pPr>
        <w:ind w:firstLine="566"/>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i w:val="1"/>
          <w:iCs w:val="1"/>
          <w:color w:val="auto"/>
        </w:rPr>
        <w:t xml:space="preserve">Първични минерали </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кварц,</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плагиоклаз,</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калиев фелдшпат,</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мусковит,</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биотит,</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хлорити,</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скални</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отломки, глинести минерали, калцит.;</w:t>
      </w:r>
    </w:p>
    <w:p>
      <w:pPr>
        <w:ind w:firstLine="566"/>
        <w:spacing w:after="0" w:line="239"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i w:val="1"/>
          <w:iCs w:val="1"/>
          <w:color w:val="auto"/>
        </w:rPr>
        <w:t xml:space="preserve">Вторични минерали </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глауконит,</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зърна от фосфоросъдържащ минерал,</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пирит,</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железни окиси</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и хидроокиси.</w:t>
      </w:r>
    </w:p>
    <w:p>
      <w:pPr>
        <w:jc w:val="both"/>
        <w:ind w:firstLine="566"/>
        <w:spacing w:after="0" w:line="241"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b w:val="1"/>
          <w:bCs w:val="1"/>
          <w:i w:val="1"/>
          <w:iCs w:val="1"/>
          <w:color w:val="auto"/>
        </w:rPr>
        <w:t xml:space="preserve">Микроскопските изследвания </w:t>
      </w:r>
      <w:r>
        <w:rPr>
          <w:rFonts w:ascii="Times New Roman" w:cs="Times New Roman" w:eastAsia="Times New Roman" w:hAnsi="Times New Roman"/>
          <w:sz w:val="24"/>
          <w:szCs w:val="24"/>
          <w:color w:val="auto"/>
        </w:rPr>
        <w:t>свидетелствуват,</w:t>
      </w:r>
      <w:r>
        <w:rPr>
          <w:rFonts w:ascii="Times New Roman" w:cs="Times New Roman" w:eastAsia="Times New Roman" w:hAnsi="Times New Roman"/>
          <w:sz w:val="24"/>
          <w:szCs w:val="24"/>
          <w:b w:val="1"/>
          <w:bCs w:val="1"/>
          <w:i w:val="1"/>
          <w:iCs w:val="1"/>
          <w:color w:val="auto"/>
        </w:rPr>
        <w:t xml:space="preserve"> </w:t>
      </w:r>
      <w:r>
        <w:rPr>
          <w:rFonts w:ascii="Times New Roman" w:cs="Times New Roman" w:eastAsia="Times New Roman" w:hAnsi="Times New Roman"/>
          <w:sz w:val="24"/>
          <w:szCs w:val="24"/>
          <w:color w:val="auto"/>
        </w:rPr>
        <w:t>че глауконитовите пясъчници от този</w:t>
      </w:r>
      <w:r>
        <w:rPr>
          <w:rFonts w:ascii="Times New Roman" w:cs="Times New Roman" w:eastAsia="Times New Roman" w:hAnsi="Times New Roman"/>
          <w:sz w:val="24"/>
          <w:szCs w:val="24"/>
          <w:b w:val="1"/>
          <w:bCs w:val="1"/>
          <w:i w:val="1"/>
          <w:iCs w:val="1"/>
          <w:color w:val="auto"/>
        </w:rPr>
        <w:t xml:space="preserve"> </w:t>
      </w:r>
      <w:r>
        <w:rPr>
          <w:rFonts w:ascii="Times New Roman" w:cs="Times New Roman" w:eastAsia="Times New Roman" w:hAnsi="Times New Roman"/>
          <w:sz w:val="24"/>
          <w:szCs w:val="24"/>
          <w:color w:val="auto"/>
        </w:rPr>
        <w:t>хоризонт са изградени от теригенна компонента, спойка ( 15-20%) и от 25-30 до 50-60% автогенен глауконит. Разпределението на тези компоненти е неравномерно.</w:t>
      </w:r>
    </w:p>
    <w:p>
      <w:pPr>
        <w:spacing w:after="0" w:line="2" w:lineRule="exact"/>
        <w:rPr>
          <w:rFonts w:ascii="Times New Roman" w:cs="Times New Roman" w:eastAsia="Times New Roman" w:hAnsi="Times New Roman"/>
          <w:sz w:val="24"/>
          <w:szCs w:val="24"/>
          <w:color w:val="auto"/>
        </w:rPr>
      </w:pPr>
    </w:p>
    <w:p>
      <w:pPr>
        <w:jc w:val="both"/>
        <w:ind w:firstLine="566"/>
        <w:spacing w:after="0" w:line="256"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Теригенните зърна имат разнопсамитови размери, вариращи от дребен псамит,(0,15-0,20 m) до едър груб псамит (1,5-1,6 mm), рядко до около 2 mm. Формата на зърната е разнообразна, ръбеста и полуръбеста за дребните фракции до полузаоблена при едрия и груб псамит. Сортировката на</w:t>
      </w:r>
    </w:p>
    <w:p>
      <w:pPr>
        <w:spacing w:after="0" w:line="178" w:lineRule="exact"/>
        <w:rPr>
          <w:sz w:val="20"/>
          <w:szCs w:val="20"/>
          <w:color w:val="auto"/>
        </w:rPr>
      </w:pPr>
    </w:p>
    <w:p>
      <w:pPr>
        <w:ind w:left="10200"/>
        <w:spacing w:after="0"/>
        <w:rPr>
          <w:sz w:val="20"/>
          <w:szCs w:val="20"/>
          <w:color w:val="auto"/>
        </w:rPr>
      </w:pPr>
      <w:r>
        <w:rPr>
          <w:rFonts w:ascii="Times New Roman" w:cs="Times New Roman" w:eastAsia="Times New Roman" w:hAnsi="Times New Roman"/>
          <w:sz w:val="20"/>
          <w:szCs w:val="20"/>
          <w:color w:val="auto"/>
        </w:rPr>
        <w:t>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-15240</wp:posOffset>
            </wp:positionH>
            <wp:positionV relativeFrom="paragraph">
              <wp:posOffset>-60325</wp:posOffset>
            </wp:positionV>
            <wp:extent cx="6438900" cy="2857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a:extLst>
                        <a:ext uri="{28A0092B-C50C-407E-A947-70E740481C1C}"/>
                      </a:extLst>
                    </a:blip>
                    <a:srcRect/>
                    <a:stretch>
                      <a:fillRect/>
                    </a:stretch>
                  </pic:blipFill>
                  <pic:spPr bwMode="auto">
                    <a:xfrm>
                      <a:off x="0" y="0"/>
                      <a:ext cx="6438900" cy="28575"/>
                    </a:xfrm>
                    <a:prstGeom prst="rect">
                      <a:avLst/>
                    </a:prstGeom>
                    <a:noFill/>
                  </pic:spPr>
                </pic:pic>
              </a:graphicData>
            </a:graphic>
          </wp:anchor>
        </w:drawing>
      </w:r>
    </w:p>
    <w:p>
      <w:pPr>
        <w:sectPr>
          <w:pgSz w:w="11920" w:h="16850" w:orient="portrait"/>
          <w:cols w:equalWidth="0" w:num="1">
            <w:col w:w="10340"/>
          </w:cols>
          <w:pgMar w:left="1000" w:top="376" w:right="571" w:bottom="0" w:gutter="0" w:footer="0" w:header="0"/>
        </w:sectPr>
      </w:pPr>
    </w:p>
    <w:p>
      <w:pPr>
        <w:spacing w:after="0" w:line="2" w:lineRule="exact"/>
        <w:rPr>
          <w:sz w:val="20"/>
          <w:szCs w:val="20"/>
          <w:color w:val="auto"/>
        </w:rPr>
      </w:pPr>
    </w:p>
    <w:p>
      <w:pPr>
        <w:jc w:val="center"/>
        <w:ind w:right="6700"/>
        <w:spacing w:after="0"/>
        <w:rPr>
          <w:sz w:val="20"/>
          <w:szCs w:val="20"/>
          <w:color w:val="auto"/>
        </w:rPr>
      </w:pPr>
      <w:r>
        <w:rPr>
          <w:rFonts w:ascii="Times New Roman" w:cs="Times New Roman" w:eastAsia="Times New Roman" w:hAnsi="Times New Roman"/>
          <w:sz w:val="15"/>
          <w:szCs w:val="15"/>
          <w:b w:val="1"/>
          <w:bCs w:val="1"/>
          <w:color w:val="999999"/>
        </w:rPr>
        <w:t>Титуляр: „БН-КОНСУЛТ-ИНЖЕНИРИНГ” ООД</w:t>
      </w:r>
    </w:p>
    <w:p>
      <w:pPr>
        <w:spacing w:after="0" w:line="12" w:lineRule="exact"/>
        <w:rPr>
          <w:sz w:val="20"/>
          <w:szCs w:val="20"/>
          <w:color w:val="auto"/>
        </w:rPr>
      </w:pPr>
    </w:p>
    <w:p>
      <w:pPr>
        <w:jc w:val="center"/>
        <w:ind w:right="6820"/>
        <w:spacing w:after="0"/>
        <w:rPr>
          <w:sz w:val="20"/>
          <w:szCs w:val="20"/>
          <w:color w:val="auto"/>
        </w:rPr>
      </w:pPr>
      <w:r>
        <w:rPr>
          <w:rFonts w:ascii="Times New Roman" w:cs="Times New Roman" w:eastAsia="Times New Roman" w:hAnsi="Times New Roman"/>
          <w:sz w:val="16"/>
          <w:szCs w:val="16"/>
          <w:b w:val="1"/>
          <w:bCs w:val="1"/>
          <w:color w:val="999999"/>
        </w:rPr>
        <w:t>гр. София</w:t>
      </w:r>
    </w:p>
    <w:p>
      <w:pPr>
        <w:sectPr>
          <w:pgSz w:w="11920" w:h="16850" w:orient="portrait"/>
          <w:cols w:equalWidth="0" w:num="1">
            <w:col w:w="10340"/>
          </w:cols>
          <w:pgMar w:left="1000" w:top="376" w:right="571" w:bottom="0" w:gutter="0" w:footer="0" w:header="0"/>
          <w:type w:val="continuous"/>
        </w:sectPr>
      </w:pPr>
    </w:p>
    <w:p>
      <w:pPr>
        <w:jc w:val="both"/>
        <w:ind w:left="9" w:right="60"/>
        <w:spacing w:after="0" w:line="255" w:lineRule="auto"/>
        <w:rPr>
          <w:sz w:val="20"/>
          <w:szCs w:val="20"/>
          <w:color w:val="auto"/>
        </w:rPr>
      </w:pPr>
      <w:r>
        <w:rPr>
          <w:rFonts w:ascii="Times New Roman" w:cs="Times New Roman" w:eastAsia="Times New Roman" w:hAnsi="Times New Roman"/>
          <w:sz w:val="20"/>
          <w:szCs w:val="20"/>
          <w:b w:val="1"/>
          <w:bCs w:val="1"/>
          <w:color w:val="auto"/>
        </w:rPr>
        <w:t xml:space="preserve">ПРЕДЛОЖЕНИЕ ЗА УПРАВЛЕНИЕ НА МИННИТЕ ОТПАДЪЦИ при осъществяване на инвестиционно предложение: „Добив на подземни богатства – индустриални минерали - глауконитови пясъчници от находище </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b w:val="1"/>
          <w:bCs w:val="1"/>
          <w:color w:val="auto"/>
        </w:rPr>
        <w:t>ГЛОРИЯ</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b w:val="1"/>
          <w:bCs w:val="1"/>
          <w:color w:val="auto"/>
        </w:rPr>
        <w:t>,</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разположено в землищата на с.</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Мало Пещене и с.</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Голямо Пещене,</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община Враца,</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област Враца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-6985</wp:posOffset>
                </wp:positionH>
                <wp:positionV relativeFrom="paragraph">
                  <wp:posOffset>15875</wp:posOffset>
                </wp:positionV>
                <wp:extent cx="6552565" cy="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52565" cy="4763"/>
                        </a:xfrm>
                        <a:prstGeom prst="line">
                          <a:avLst/>
                        </a:prstGeom>
                        <a:solidFill>
                          <a:srgbClr val="FFFFFF"/>
                        </a:solidFill>
                        <a:ln w="9525">
                          <a:solidFill>
                            <a:srgbClr val="969696"/>
                          </a:solidFill>
                          <a:miter lim="800000"/>
                          <a:headEnd/>
                          <a:tailEnd/>
                        </a:ln>
                      </wps:spPr>
                      <wps:bodyPr/>
                    </wps:wsp>
                  </a:graphicData>
                </a:graphic>
              </wp:anchor>
            </w:drawing>
          </mc:Choice>
          <mc:Fallback>
            <w:pict>
              <v:line id="Shape 34" o:spid="_x0000_s105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499pt,1.25pt" to="515.4pt,1.25pt" o:allowincell="f" strokecolor="#969696" strokeweight="0.75pt"/>
            </w:pict>
          </mc:Fallback>
        </mc:AlternateContent>
      </w:r>
    </w:p>
    <w:p>
      <w:pPr>
        <w:spacing w:after="0" w:line="155" w:lineRule="exact"/>
        <w:rPr>
          <w:sz w:val="20"/>
          <w:szCs w:val="20"/>
          <w:color w:val="auto"/>
        </w:rPr>
      </w:pPr>
    </w:p>
    <w:p>
      <w:pPr>
        <w:jc w:val="both"/>
        <w:ind w:left="9" w:right="60"/>
        <w:spacing w:after="0"/>
        <w:rPr>
          <w:sz w:val="20"/>
          <w:szCs w:val="20"/>
          <w:color w:val="auto"/>
        </w:rPr>
      </w:pPr>
      <w:r>
        <w:rPr>
          <w:rFonts w:ascii="Times New Roman" w:cs="Times New Roman" w:eastAsia="Times New Roman" w:hAnsi="Times New Roman"/>
          <w:sz w:val="24"/>
          <w:szCs w:val="24"/>
          <w:color w:val="auto"/>
        </w:rPr>
        <w:t>теригенния материал е лоша. Характерно за разпределението на скалообразуващите компоненти, е че едро-грубопсамитовите теригенни зърна са неравномерно разпределени („плуват”) сред дребно-среднозърнеста основна маса със спойка (матрикс).</w:t>
      </w:r>
    </w:p>
    <w:p>
      <w:pPr>
        <w:jc w:val="both"/>
        <w:ind w:left="9" w:right="60" w:firstLine="566"/>
        <w:spacing w:after="0"/>
        <w:rPr>
          <w:sz w:val="20"/>
          <w:szCs w:val="20"/>
          <w:color w:val="auto"/>
        </w:rPr>
      </w:pPr>
      <w:r>
        <w:rPr>
          <w:rFonts w:ascii="Times New Roman" w:cs="Times New Roman" w:eastAsia="Times New Roman" w:hAnsi="Times New Roman"/>
          <w:sz w:val="24"/>
          <w:szCs w:val="24"/>
          <w:color w:val="auto"/>
        </w:rPr>
        <w:t>Теригенната компонента е с полимиктов състав. По-голямата част от нея е представена от минерални зърна: кварц (около 18%), фелдшпатови минерали (плагиоклаз и калиев фелдшпат) (16%). Наблюдават се и разнообразни скални късчета.</w:t>
      </w:r>
    </w:p>
    <w:p>
      <w:pPr>
        <w:ind w:left="569"/>
        <w:spacing w:after="0"/>
        <w:rPr>
          <w:sz w:val="20"/>
          <w:szCs w:val="20"/>
          <w:color w:val="auto"/>
        </w:rPr>
      </w:pPr>
      <w:r>
        <w:rPr>
          <w:rFonts w:ascii="Times New Roman" w:cs="Times New Roman" w:eastAsia="Times New Roman" w:hAnsi="Times New Roman"/>
          <w:sz w:val="24"/>
          <w:szCs w:val="24"/>
          <w:color w:val="auto"/>
        </w:rPr>
        <w:t>Кварцовите зърна са ръбести или неправилно заоблени.</w:t>
      </w:r>
    </w:p>
    <w:p>
      <w:pPr>
        <w:jc w:val="both"/>
        <w:ind w:left="9" w:right="60" w:firstLine="566"/>
        <w:spacing w:after="0" w:line="238" w:lineRule="auto"/>
        <w:rPr>
          <w:sz w:val="20"/>
          <w:szCs w:val="20"/>
          <w:color w:val="auto"/>
        </w:rPr>
      </w:pPr>
      <w:r>
        <w:rPr>
          <w:rFonts w:ascii="Times New Roman" w:cs="Times New Roman" w:eastAsia="Times New Roman" w:hAnsi="Times New Roman"/>
          <w:sz w:val="24"/>
          <w:szCs w:val="24"/>
          <w:color w:val="auto"/>
        </w:rPr>
        <w:t>Фелдшпатовите минерали са представени от плагиоклаз и калиев фелдшпат. Някои от плагиоклазовите зърна са частично или изцяло карбонатизирани.</w:t>
      </w:r>
    </w:p>
    <w:p>
      <w:pPr>
        <w:spacing w:after="0" w:line="1" w:lineRule="exact"/>
        <w:rPr>
          <w:sz w:val="20"/>
          <w:szCs w:val="20"/>
          <w:color w:val="auto"/>
        </w:rPr>
      </w:pPr>
    </w:p>
    <w:p>
      <w:pPr>
        <w:jc w:val="both"/>
        <w:ind w:left="9" w:right="60" w:firstLine="566"/>
        <w:spacing w:after="0" w:line="239" w:lineRule="auto"/>
        <w:rPr>
          <w:sz w:val="20"/>
          <w:szCs w:val="20"/>
          <w:color w:val="auto"/>
        </w:rPr>
      </w:pPr>
      <w:r>
        <w:rPr>
          <w:rFonts w:ascii="Times New Roman" w:cs="Times New Roman" w:eastAsia="Times New Roman" w:hAnsi="Times New Roman"/>
          <w:sz w:val="24"/>
          <w:szCs w:val="24"/>
          <w:i w:val="1"/>
          <w:iCs w:val="1"/>
          <w:color w:val="auto"/>
        </w:rPr>
        <w:t xml:space="preserve">Рентгеноструктурният анализ </w:t>
      </w:r>
      <w:r>
        <w:rPr>
          <w:rFonts w:ascii="Times New Roman" w:cs="Times New Roman" w:eastAsia="Times New Roman" w:hAnsi="Times New Roman"/>
          <w:sz w:val="24"/>
          <w:szCs w:val="24"/>
          <w:color w:val="auto"/>
        </w:rPr>
        <w:t>на глауконитовите пясъчници от този хоризонт свидетелсвува</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за следния минерален състав: глауконит - 53%, кварц -18%;калцит – 9%; албит - 10%; микроклин – 6%; гетит – 3%.</w:t>
      </w:r>
    </w:p>
    <w:p>
      <w:pPr>
        <w:spacing w:after="0" w:line="1" w:lineRule="exact"/>
        <w:rPr>
          <w:sz w:val="20"/>
          <w:szCs w:val="20"/>
          <w:color w:val="auto"/>
        </w:rPr>
      </w:pPr>
    </w:p>
    <w:p>
      <w:pPr>
        <w:jc w:val="both"/>
        <w:ind w:left="9" w:right="60" w:firstLine="566"/>
        <w:spacing w:after="0" w:line="241" w:lineRule="auto"/>
        <w:rPr>
          <w:sz w:val="20"/>
          <w:szCs w:val="20"/>
          <w:color w:val="auto"/>
        </w:rPr>
      </w:pPr>
      <w:r>
        <w:rPr>
          <w:rFonts w:ascii="Times New Roman" w:cs="Times New Roman" w:eastAsia="Times New Roman" w:hAnsi="Times New Roman"/>
          <w:sz w:val="24"/>
          <w:szCs w:val="24"/>
          <w:b w:val="1"/>
          <w:bCs w:val="1"/>
          <w:i w:val="1"/>
          <w:iCs w:val="1"/>
          <w:color w:val="auto"/>
        </w:rPr>
        <w:t xml:space="preserve">Глауконитът </w:t>
      </w:r>
      <w:r>
        <w:rPr>
          <w:rFonts w:ascii="Times New Roman" w:cs="Times New Roman" w:eastAsia="Times New Roman" w:hAnsi="Times New Roman"/>
          <w:sz w:val="24"/>
          <w:szCs w:val="24"/>
          <w:color w:val="auto"/>
        </w:rPr>
        <w:t>(K, H</w:t>
      </w:r>
      <w:r>
        <w:rPr>
          <w:rFonts w:ascii="Times New Roman" w:cs="Times New Roman" w:eastAsia="Times New Roman" w:hAnsi="Times New Roman"/>
          <w:sz w:val="16"/>
          <w:szCs w:val="16"/>
          <w:color w:val="auto"/>
        </w:rPr>
        <w:t>2</w:t>
      </w:r>
      <w:r>
        <w:rPr>
          <w:rFonts w:ascii="Times New Roman" w:cs="Times New Roman" w:eastAsia="Times New Roman" w:hAnsi="Times New Roman"/>
          <w:sz w:val="24"/>
          <w:szCs w:val="24"/>
          <w:color w:val="auto"/>
        </w:rPr>
        <w:t>O)(Fe, Mg, Al)</w:t>
      </w:r>
      <w:r>
        <w:rPr>
          <w:rFonts w:ascii="Times New Roman" w:cs="Times New Roman" w:eastAsia="Times New Roman" w:hAnsi="Times New Roman"/>
          <w:sz w:val="16"/>
          <w:szCs w:val="16"/>
          <w:color w:val="auto"/>
        </w:rPr>
        <w:t>2</w:t>
      </w:r>
      <w:r>
        <w:rPr>
          <w:rFonts w:ascii="Times New Roman" w:cs="Times New Roman" w:eastAsia="Times New Roman" w:hAnsi="Times New Roman"/>
          <w:sz w:val="24"/>
          <w:szCs w:val="24"/>
          <w:color w:val="auto"/>
        </w:rPr>
        <w:t>[(Al, Si)Si</w:t>
      </w:r>
      <w:r>
        <w:rPr>
          <w:rFonts w:ascii="Times New Roman" w:cs="Times New Roman" w:eastAsia="Times New Roman" w:hAnsi="Times New Roman"/>
          <w:sz w:val="16"/>
          <w:szCs w:val="16"/>
          <w:color w:val="auto"/>
        </w:rPr>
        <w:t>3</w:t>
      </w:r>
      <w:r>
        <w:rPr>
          <w:rFonts w:ascii="Times New Roman" w:cs="Times New Roman" w:eastAsia="Times New Roman" w:hAnsi="Times New Roman"/>
          <w:sz w:val="24"/>
          <w:szCs w:val="24"/>
          <w:color w:val="auto"/>
        </w:rPr>
        <w:t>O</w:t>
      </w:r>
      <w:r>
        <w:rPr>
          <w:rFonts w:ascii="Times New Roman" w:cs="Times New Roman" w:eastAsia="Times New Roman" w:hAnsi="Times New Roman"/>
          <w:sz w:val="16"/>
          <w:szCs w:val="16"/>
          <w:color w:val="auto"/>
        </w:rPr>
        <w:t>10</w:t>
      </w:r>
      <w:r>
        <w:rPr>
          <w:rFonts w:ascii="Times New Roman" w:cs="Times New Roman" w:eastAsia="Times New Roman" w:hAnsi="Times New Roman"/>
          <w:sz w:val="24"/>
          <w:szCs w:val="24"/>
          <w:color w:val="auto"/>
        </w:rPr>
        <w:t>](OH)</w:t>
      </w:r>
      <w:r>
        <w:rPr>
          <w:rFonts w:ascii="Times New Roman" w:cs="Times New Roman" w:eastAsia="Times New Roman" w:hAnsi="Times New Roman"/>
          <w:sz w:val="16"/>
          <w:szCs w:val="16"/>
          <w:color w:val="auto"/>
        </w:rPr>
        <w:t>2</w:t>
      </w:r>
      <w:r>
        <w:rPr>
          <w:rFonts w:ascii="Times New Roman" w:cs="Times New Roman" w:eastAsia="Times New Roman" w:hAnsi="Times New Roman"/>
          <w:sz w:val="24"/>
          <w:szCs w:val="24"/>
          <w:b w:val="1"/>
          <w:bCs w:val="1"/>
          <w:i w:val="1"/>
          <w:iCs w:val="1"/>
          <w:color w:val="auto"/>
        </w:rPr>
        <w:t xml:space="preserve"> </w:t>
      </w:r>
      <w:r>
        <w:rPr>
          <w:rFonts w:ascii="Times New Roman" w:cs="Times New Roman" w:eastAsia="Times New Roman" w:hAnsi="Times New Roman"/>
          <w:sz w:val="24"/>
          <w:szCs w:val="24"/>
          <w:color w:val="auto"/>
        </w:rPr>
        <w:t>формира свежи зелени до наситено</w:t>
      </w:r>
      <w:r>
        <w:rPr>
          <w:rFonts w:ascii="Times New Roman" w:cs="Times New Roman" w:eastAsia="Times New Roman" w:hAnsi="Times New Roman"/>
          <w:sz w:val="24"/>
          <w:szCs w:val="24"/>
          <w:b w:val="1"/>
          <w:bCs w:val="1"/>
          <w:i w:val="1"/>
          <w:iCs w:val="1"/>
          <w:color w:val="auto"/>
        </w:rPr>
        <w:t xml:space="preserve"> </w:t>
      </w:r>
      <w:r>
        <w:rPr>
          <w:rFonts w:ascii="Times New Roman" w:cs="Times New Roman" w:eastAsia="Times New Roman" w:hAnsi="Times New Roman"/>
          <w:sz w:val="24"/>
          <w:szCs w:val="24"/>
          <w:color w:val="auto"/>
        </w:rPr>
        <w:t>тревистозелени зърна, развити като автоморфни минерали, а при някои прозира и псевдоморфоза по първични теригенни зърна.</w:t>
      </w:r>
    </w:p>
    <w:p>
      <w:pPr>
        <w:spacing w:after="0" w:line="3" w:lineRule="exact"/>
        <w:rPr>
          <w:sz w:val="20"/>
          <w:szCs w:val="20"/>
          <w:color w:val="auto"/>
        </w:rPr>
      </w:pPr>
    </w:p>
    <w:p>
      <w:pPr>
        <w:jc w:val="both"/>
        <w:ind w:left="9" w:right="60" w:firstLine="566"/>
        <w:spacing w:after="0"/>
        <w:rPr>
          <w:sz w:val="20"/>
          <w:szCs w:val="20"/>
          <w:color w:val="auto"/>
        </w:rPr>
      </w:pPr>
      <w:r>
        <w:rPr>
          <w:rFonts w:ascii="Times New Roman" w:cs="Times New Roman" w:eastAsia="Times New Roman" w:hAnsi="Times New Roman"/>
          <w:sz w:val="24"/>
          <w:szCs w:val="24"/>
          <w:color w:val="auto"/>
        </w:rPr>
        <w:t>Глауконитовите индивиди са силно заоблени, до овални сечения, не рядко със слабо удължена форма на зърната. Наблюдават се изключително рядко и зърна с полуръбести очертания. Под микроскоп глауконитовите зърна показват микролюспест строеж и ясна агрегатна поляризация. Размерите на зърната варират от 0.06 mm до около 0.3-0.7 mm, като преобладават зърна с размери между 0.3 mm и 0.6 mm. В някои от глауконитите се наблюдава иглест руден минерал. Глауконитът е разпределен неравномерно в обема на скалата.</w:t>
      </w:r>
    </w:p>
    <w:p>
      <w:pPr>
        <w:jc w:val="both"/>
        <w:ind w:left="9" w:right="60" w:firstLine="566"/>
        <w:spacing w:after="0"/>
        <w:rPr>
          <w:sz w:val="20"/>
          <w:szCs w:val="20"/>
          <w:color w:val="auto"/>
        </w:rPr>
      </w:pPr>
      <w:r>
        <w:rPr>
          <w:rFonts w:ascii="Times New Roman" w:cs="Times New Roman" w:eastAsia="Times New Roman" w:hAnsi="Times New Roman"/>
          <w:sz w:val="24"/>
          <w:szCs w:val="24"/>
          <w:color w:val="auto"/>
        </w:rPr>
        <w:t>При петрографските изследвания са констатирани единични зърна от фосфорсъдържащ минерал, оцветени в бледокафеникаво, изотропни. Формата им е предимно неправилно заоблена. Размерите на зърната достигат до около 0.4 – 0.6 mm. Наблюдават се в асоциация с глауконитови зърна.</w:t>
      </w:r>
    </w:p>
    <w:p>
      <w:pPr>
        <w:jc w:val="both"/>
        <w:ind w:left="9" w:right="60" w:firstLine="558"/>
        <w:spacing w:after="0"/>
        <w:tabs>
          <w:tab w:leader="none" w:pos="868" w:val="left"/>
        </w:tabs>
        <w:numPr>
          <w:ilvl w:val="1"/>
          <w:numId w:val="16"/>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скалата се установява присъствие на карбонатен минерал (калцит), развит петнесто в скалата, запълващ единични междузърнести пространства. Базирайки се на рентгеноструктурните изследвания, количеството му като цяло е около 9%.</w:t>
      </w:r>
    </w:p>
    <w:p>
      <w:pPr>
        <w:jc w:val="both"/>
        <w:ind w:left="9" w:right="60" w:firstLine="566"/>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Спойката е контактно-порова и е неравномерно разпределена. По визуална оценка е около 15-20 % от обема на скалата. Съставена е от интимно примесени пелитови глинести минерали и микрозърнест калцит.</w:t>
      </w:r>
    </w:p>
    <w:p>
      <w:pPr>
        <w:ind w:left="569" w:right="60"/>
        <w:spacing w:after="0" w:line="205"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Минералният състав от II</w:t>
      </w:r>
      <w:r>
        <w:rPr>
          <w:rFonts w:ascii="Times New Roman" w:cs="Times New Roman" w:eastAsia="Times New Roman" w:hAnsi="Times New Roman"/>
          <w:sz w:val="32"/>
          <w:szCs w:val="32"/>
          <w:color w:val="auto"/>
          <w:vertAlign w:val="superscript"/>
        </w:rPr>
        <w:t>-ри</w:t>
      </w:r>
      <w:r>
        <w:rPr>
          <w:rFonts w:ascii="Times New Roman" w:cs="Times New Roman" w:eastAsia="Times New Roman" w:hAnsi="Times New Roman"/>
          <w:sz w:val="24"/>
          <w:szCs w:val="24"/>
          <w:color w:val="auto"/>
        </w:rPr>
        <w:t xml:space="preserve"> хоризонт е близък до този от I</w:t>
      </w:r>
      <w:r>
        <w:rPr>
          <w:rFonts w:ascii="Times New Roman" w:cs="Times New Roman" w:eastAsia="Times New Roman" w:hAnsi="Times New Roman"/>
          <w:sz w:val="32"/>
          <w:szCs w:val="32"/>
          <w:color w:val="auto"/>
          <w:vertAlign w:val="superscript"/>
        </w:rPr>
        <w:t>-ви</w:t>
      </w:r>
      <w:r>
        <w:rPr>
          <w:rFonts w:ascii="Times New Roman" w:cs="Times New Roman" w:eastAsia="Times New Roman" w:hAnsi="Times New Roman"/>
          <w:sz w:val="24"/>
          <w:szCs w:val="24"/>
          <w:color w:val="auto"/>
        </w:rPr>
        <w:t xml:space="preserve"> хоризонт и е представен от: </w:t>
      </w:r>
      <w:r>
        <w:rPr>
          <w:rFonts w:ascii="Times New Roman" w:cs="Times New Roman" w:eastAsia="Times New Roman" w:hAnsi="Times New Roman"/>
          <w:sz w:val="24"/>
          <w:szCs w:val="24"/>
          <w:i w:val="1"/>
          <w:iCs w:val="1"/>
          <w:color w:val="auto"/>
        </w:rPr>
        <w:t>Първични минерали</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кварц;</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плагиоклаз;</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калиев фелдшпат;</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бяла слюда</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(мусковит);</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биотит;</w:t>
      </w:r>
    </w:p>
    <w:p>
      <w:pPr>
        <w:spacing w:after="0" w:line="1" w:lineRule="exact"/>
        <w:rPr>
          <w:rFonts w:ascii="Times New Roman" w:cs="Times New Roman" w:eastAsia="Times New Roman" w:hAnsi="Times New Roman"/>
          <w:sz w:val="24"/>
          <w:szCs w:val="24"/>
          <w:color w:val="auto"/>
        </w:rPr>
      </w:pPr>
    </w:p>
    <w:p>
      <w:pPr>
        <w:ind w:left="9"/>
        <w:spacing w:after="0" w:line="236"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хлорит; скални отломки; глинести минерали; калцит; гранат; циркон.</w:t>
      </w:r>
    </w:p>
    <w:p>
      <w:pPr>
        <w:ind w:left="9" w:right="60" w:firstLine="566"/>
        <w:spacing w:after="0" w:line="241"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i w:val="1"/>
          <w:iCs w:val="1"/>
          <w:color w:val="auto"/>
        </w:rPr>
        <w:t>Вторични минерали</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глауконит;</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фосфор-съдържащ минерал;</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пирит;</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смесенослойни глинесто-хидрослюдести продукти; железни оксиди и хидрооксиди.</w:t>
      </w:r>
    </w:p>
    <w:p>
      <w:pPr>
        <w:spacing w:after="0" w:line="1" w:lineRule="exact"/>
        <w:rPr>
          <w:rFonts w:ascii="Times New Roman" w:cs="Times New Roman" w:eastAsia="Times New Roman" w:hAnsi="Times New Roman"/>
          <w:sz w:val="24"/>
          <w:szCs w:val="24"/>
          <w:color w:val="auto"/>
        </w:rPr>
      </w:pPr>
    </w:p>
    <w:p>
      <w:pPr>
        <w:jc w:val="both"/>
        <w:ind w:left="9" w:right="60" w:firstLine="566"/>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Глауконитовите пясъчници са изградени от теригенна компонента, спойка (8-10%) и около 55-60% автогенен глауконит. Разпространението на компонентите е неравномерно. Съдържанието на глауконита, съдейки от минераложките изследвания на материала от този хоризонт е около 68%, на кварца- 12%; калцита – 6%, албита -5%; микроклина-3%; гетита – 3%.</w:t>
      </w:r>
    </w:p>
    <w:p>
      <w:pPr>
        <w:ind w:left="569"/>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Прави впечатление, че за разлика от горния хоризонт, тук съдържанието, както на кварца, така</w:t>
      </w:r>
    </w:p>
    <w:p>
      <w:pPr>
        <w:ind w:left="189" w:hanging="189"/>
        <w:spacing w:after="0"/>
        <w:tabs>
          <w:tab w:leader="none" w:pos="189" w:val="left"/>
        </w:tabs>
        <w:numPr>
          <w:ilvl w:val="0"/>
          <w:numId w:val="16"/>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на фелдшпатите е по-малко за сметка на глауконита.</w:t>
      </w:r>
    </w:p>
    <w:p>
      <w:pPr>
        <w:jc w:val="both"/>
        <w:ind w:left="9" w:right="60" w:firstLine="566"/>
        <w:spacing w:after="0"/>
        <w:rPr>
          <w:sz w:val="20"/>
          <w:szCs w:val="20"/>
          <w:color w:val="auto"/>
        </w:rPr>
      </w:pPr>
      <w:r>
        <w:rPr>
          <w:rFonts w:ascii="Times New Roman" w:cs="Times New Roman" w:eastAsia="Times New Roman" w:hAnsi="Times New Roman"/>
          <w:sz w:val="24"/>
          <w:szCs w:val="24"/>
          <w:color w:val="auto"/>
        </w:rPr>
        <w:t xml:space="preserve">Теригенната компонента има разнопсамитов състав. Представена е от дребен псамит (0.15-0.20 mm) до едропсамитови късчета (размери до 2.3 mm), като преобладаващи са късчета с размери около 0.4-0.6 до 0.8-1.0 mm. Формата на зърната е разнообразна – ръбеста и полуръбеста за дребните фракции до полузаоблена и полуръбеста при едрия псамит . В ограничени участъци се наблюдават малки дифузионни полета (повлекла), формирани от дребнопсамитови зърна и микролюспести глинести минерали . Сортировката на теригенния материал е лоша. </w:t>
      </w:r>
      <w:r>
        <w:rPr>
          <w:rFonts w:ascii="Times New Roman" w:cs="Times New Roman" w:eastAsia="Times New Roman" w:hAnsi="Times New Roman"/>
          <w:sz w:val="22"/>
          <w:szCs w:val="22"/>
          <w:color w:val="auto"/>
        </w:rPr>
        <w:t>Теригенната</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2"/>
          <w:szCs w:val="22"/>
          <w:color w:val="auto"/>
        </w:rPr>
        <w:t xml:space="preserve">компонента е съставена от минерални зърна и </w:t>
      </w:r>
      <w:r>
        <w:rPr>
          <w:rFonts w:ascii="Times New Roman" w:cs="Times New Roman" w:eastAsia="Times New Roman" w:hAnsi="Times New Roman"/>
          <w:sz w:val="24"/>
          <w:szCs w:val="24"/>
          <w:color w:val="auto"/>
        </w:rPr>
        <w:t>разнообразни скални късчета</w:t>
      </w:r>
      <w:r>
        <w:rPr>
          <w:rFonts w:ascii="Times New Roman" w:cs="Times New Roman" w:eastAsia="Times New Roman" w:hAnsi="Times New Roman"/>
          <w:sz w:val="22"/>
          <w:szCs w:val="22"/>
          <w:color w:val="auto"/>
        </w:rPr>
        <w:t xml:space="preserve">. </w:t>
      </w:r>
      <w:r>
        <w:rPr>
          <w:rFonts w:ascii="Times New Roman" w:cs="Times New Roman" w:eastAsia="Times New Roman" w:hAnsi="Times New Roman"/>
          <w:sz w:val="24"/>
          <w:szCs w:val="24"/>
          <w:color w:val="auto"/>
        </w:rPr>
        <w:t>Минералните зърна са</w:t>
      </w:r>
      <w:r>
        <w:rPr>
          <w:rFonts w:ascii="Times New Roman" w:cs="Times New Roman" w:eastAsia="Times New Roman" w:hAnsi="Times New Roman"/>
          <w:sz w:val="22"/>
          <w:szCs w:val="22"/>
          <w:color w:val="auto"/>
        </w:rPr>
        <w:t xml:space="preserve"> </w:t>
      </w:r>
      <w:r>
        <w:rPr>
          <w:rFonts w:ascii="Times New Roman" w:cs="Times New Roman" w:eastAsia="Times New Roman" w:hAnsi="Times New Roman"/>
          <w:sz w:val="24"/>
          <w:szCs w:val="24"/>
          <w:color w:val="auto"/>
        </w:rPr>
        <w:t>представени предимно от кварц и фелдшпатови минерали, но в по-малки количества в сравение с горния хоризонт.</w:t>
      </w:r>
    </w:p>
    <w:p>
      <w:pPr>
        <w:jc w:val="right"/>
        <w:ind w:right="60"/>
        <w:spacing w:after="0"/>
        <w:rPr>
          <w:sz w:val="20"/>
          <w:szCs w:val="20"/>
          <w:color w:val="auto"/>
        </w:rPr>
      </w:pPr>
      <w:r>
        <w:rPr>
          <w:rFonts w:ascii="Times New Roman" w:cs="Times New Roman" w:eastAsia="Times New Roman" w:hAnsi="Times New Roman"/>
          <w:sz w:val="24"/>
          <w:szCs w:val="24"/>
          <w:color w:val="auto"/>
        </w:rPr>
        <w:t>Кварцът се среща в неправилно заоблени до ръбести зърна, обикновенно бистри, с вълновидно</w:t>
      </w:r>
    </w:p>
    <w:p>
      <w:pPr>
        <w:spacing w:after="0" w:line="197"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0"/>
          <w:szCs w:val="20"/>
          <w:color w:val="auto"/>
        </w:rPr>
        <w:t>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-60325</wp:posOffset>
            </wp:positionV>
            <wp:extent cx="6438900" cy="2857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a:extLst>
                        <a:ext uri="{28A0092B-C50C-407E-A947-70E740481C1C}"/>
                      </a:extLst>
                    </a:blip>
                    <a:srcRect/>
                    <a:stretch>
                      <a:fillRect/>
                    </a:stretch>
                  </pic:blipFill>
                  <pic:spPr bwMode="auto">
                    <a:xfrm>
                      <a:off x="0" y="0"/>
                      <a:ext cx="6438900" cy="28575"/>
                    </a:xfrm>
                    <a:prstGeom prst="rect">
                      <a:avLst/>
                    </a:prstGeom>
                    <a:noFill/>
                  </pic:spPr>
                </pic:pic>
              </a:graphicData>
            </a:graphic>
          </wp:anchor>
        </w:drawing>
      </w:r>
    </w:p>
    <w:p>
      <w:pPr>
        <w:sectPr>
          <w:pgSz w:w="11920" w:h="16850" w:orient="portrait"/>
          <w:cols w:equalWidth="0" w:num="1">
            <w:col w:w="10409"/>
          </w:cols>
          <w:pgMar w:left="991" w:top="376" w:right="511" w:bottom="0" w:gutter="0" w:footer="0" w:header="0"/>
        </w:sectPr>
      </w:pPr>
    </w:p>
    <w:p>
      <w:pPr>
        <w:spacing w:after="0" w:line="2" w:lineRule="exact"/>
        <w:rPr>
          <w:sz w:val="20"/>
          <w:szCs w:val="20"/>
          <w:color w:val="auto"/>
        </w:rPr>
      </w:pPr>
    </w:p>
    <w:p>
      <w:pPr>
        <w:jc w:val="center"/>
        <w:ind w:right="6751"/>
        <w:spacing w:after="0"/>
        <w:rPr>
          <w:sz w:val="20"/>
          <w:szCs w:val="20"/>
          <w:color w:val="auto"/>
        </w:rPr>
      </w:pPr>
      <w:r>
        <w:rPr>
          <w:rFonts w:ascii="Times New Roman" w:cs="Times New Roman" w:eastAsia="Times New Roman" w:hAnsi="Times New Roman"/>
          <w:sz w:val="15"/>
          <w:szCs w:val="15"/>
          <w:b w:val="1"/>
          <w:bCs w:val="1"/>
          <w:color w:val="999999"/>
        </w:rPr>
        <w:t>Титуляр: „БН-КОНСУЛТ-ИНЖЕНИРИНГ” ООД</w:t>
      </w:r>
    </w:p>
    <w:p>
      <w:pPr>
        <w:spacing w:after="0" w:line="12" w:lineRule="exact"/>
        <w:rPr>
          <w:sz w:val="20"/>
          <w:szCs w:val="20"/>
          <w:color w:val="auto"/>
        </w:rPr>
      </w:pPr>
    </w:p>
    <w:p>
      <w:pPr>
        <w:jc w:val="center"/>
        <w:ind w:right="6871"/>
        <w:spacing w:after="0"/>
        <w:rPr>
          <w:sz w:val="20"/>
          <w:szCs w:val="20"/>
          <w:color w:val="auto"/>
        </w:rPr>
      </w:pPr>
      <w:r>
        <w:rPr>
          <w:rFonts w:ascii="Times New Roman" w:cs="Times New Roman" w:eastAsia="Times New Roman" w:hAnsi="Times New Roman"/>
          <w:sz w:val="16"/>
          <w:szCs w:val="16"/>
          <w:b w:val="1"/>
          <w:bCs w:val="1"/>
          <w:color w:val="999999"/>
        </w:rPr>
        <w:t>гр. София</w:t>
      </w:r>
    </w:p>
    <w:p>
      <w:pPr>
        <w:sectPr>
          <w:pgSz w:w="11920" w:h="16850" w:orient="portrait"/>
          <w:cols w:equalWidth="0" w:num="1">
            <w:col w:w="10409"/>
          </w:cols>
          <w:pgMar w:left="991" w:top="376" w:right="511" w:bottom="0" w:gutter="0" w:footer="0" w:header="0"/>
          <w:type w:val="continuous"/>
        </w:sectPr>
      </w:pPr>
    </w:p>
    <w:p>
      <w:pPr>
        <w:jc w:val="both"/>
        <w:ind w:right="60"/>
        <w:spacing w:after="0" w:line="255" w:lineRule="auto"/>
        <w:rPr>
          <w:sz w:val="20"/>
          <w:szCs w:val="20"/>
          <w:color w:val="auto"/>
        </w:rPr>
      </w:pPr>
      <w:r>
        <w:rPr>
          <w:rFonts w:ascii="Times New Roman" w:cs="Times New Roman" w:eastAsia="Times New Roman" w:hAnsi="Times New Roman"/>
          <w:sz w:val="20"/>
          <w:szCs w:val="20"/>
          <w:b w:val="1"/>
          <w:bCs w:val="1"/>
          <w:color w:val="auto"/>
        </w:rPr>
        <w:t xml:space="preserve">ПРЕДЛОЖЕНИЕ ЗА УПРАВЛЕНИЕ НА МИННИТЕ ОТПАДЪЦИ при осъществяване на инвестиционно предложение: „Добив на подземни богатства – индустриални минерали - глауконитови пясъчници от находище </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b w:val="1"/>
          <w:bCs w:val="1"/>
          <w:color w:val="auto"/>
        </w:rPr>
        <w:t>ГЛОРИЯ</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b w:val="1"/>
          <w:bCs w:val="1"/>
          <w:color w:val="auto"/>
        </w:rPr>
        <w:t>,</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разположено в землищата на с.</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Мало Пещене и с.</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Голямо Пещене,</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община Враца,</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област Враца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-12700</wp:posOffset>
                </wp:positionH>
                <wp:positionV relativeFrom="paragraph">
                  <wp:posOffset>15875</wp:posOffset>
                </wp:positionV>
                <wp:extent cx="6553200" cy="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53200" cy="4763"/>
                        </a:xfrm>
                        <a:prstGeom prst="line">
                          <a:avLst/>
                        </a:prstGeom>
                        <a:solidFill>
                          <a:srgbClr val="FFFFFF"/>
                        </a:solidFill>
                        <a:ln w="9525">
                          <a:solidFill>
                            <a:srgbClr val="969696"/>
                          </a:solidFill>
                          <a:miter lim="800000"/>
                          <a:headEnd/>
                          <a:tailEnd/>
                        </a:ln>
                      </wps:spPr>
                      <wps:bodyPr/>
                    </wps:wsp>
                  </a:graphicData>
                </a:graphic>
              </wp:anchor>
            </w:drawing>
          </mc:Choice>
          <mc:Fallback>
            <w:pict>
              <v:line id="Shape 36" o:spid="_x0000_s106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pt,1.25pt" to="515pt,1.25pt" o:allowincell="f" strokecolor="#969696" strokeweight="0.75pt"/>
            </w:pict>
          </mc:Fallback>
        </mc:AlternateContent>
      </w:r>
    </w:p>
    <w:p>
      <w:pPr>
        <w:spacing w:after="0" w:line="155"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или нормално потъмнение.</w:t>
      </w:r>
    </w:p>
    <w:p>
      <w:pPr>
        <w:jc w:val="both"/>
        <w:ind w:right="60" w:firstLine="566"/>
        <w:spacing w:after="0"/>
        <w:rPr>
          <w:sz w:val="20"/>
          <w:szCs w:val="20"/>
          <w:color w:val="auto"/>
        </w:rPr>
      </w:pPr>
      <w:r>
        <w:rPr>
          <w:rFonts w:ascii="Times New Roman" w:cs="Times New Roman" w:eastAsia="Times New Roman" w:hAnsi="Times New Roman"/>
          <w:sz w:val="24"/>
          <w:szCs w:val="24"/>
          <w:color w:val="auto"/>
        </w:rPr>
        <w:t>Плагиоклазът формира плочести или неправилни зърна, по които се наблюдава частично до напълно карбонатизиране.</w:t>
      </w:r>
    </w:p>
    <w:p>
      <w:pPr>
        <w:jc w:val="both"/>
        <w:ind w:right="60" w:firstLine="566"/>
        <w:spacing w:after="0"/>
        <w:rPr>
          <w:sz w:val="20"/>
          <w:szCs w:val="20"/>
          <w:color w:val="auto"/>
        </w:rPr>
      </w:pPr>
      <w:r>
        <w:rPr>
          <w:rFonts w:ascii="Times New Roman" w:cs="Times New Roman" w:eastAsia="Times New Roman" w:hAnsi="Times New Roman"/>
          <w:sz w:val="24"/>
          <w:szCs w:val="24"/>
          <w:color w:val="auto"/>
        </w:rPr>
        <w:t xml:space="preserve">Глауконитът формира свежи, зелени до наситено тъмносивозелени автогенни зърна. Срещат се и единични глауконити, при които прозира псевдоморфоза по първични теригенни зърна. Глауконитовите зърна имат заоблени до овални сечения, по-рядко са със слабо удължена или неправилна форма, но винаги се характеризират с </w:t>
      </w:r>
      <w:r>
        <w:rPr>
          <w:rFonts w:ascii="Times New Roman" w:cs="Times New Roman" w:eastAsia="Times New Roman" w:hAnsi="Times New Roman"/>
          <w:sz w:val="24"/>
          <w:szCs w:val="24"/>
          <w:b w:val="1"/>
          <w:bCs w:val="1"/>
          <w:color w:val="auto"/>
        </w:rPr>
        <w:t>микролюспест строеж</w:t>
      </w:r>
      <w:r>
        <w:rPr>
          <w:rFonts w:ascii="Times New Roman" w:cs="Times New Roman" w:eastAsia="Times New Roman" w:hAnsi="Times New Roman"/>
          <w:sz w:val="24"/>
          <w:szCs w:val="24"/>
          <w:color w:val="auto"/>
        </w:rPr>
        <w:t xml:space="preserve"> и </w:t>
      </w:r>
      <w:r>
        <w:rPr>
          <w:rFonts w:ascii="Times New Roman" w:cs="Times New Roman" w:eastAsia="Times New Roman" w:hAnsi="Times New Roman"/>
          <w:sz w:val="24"/>
          <w:szCs w:val="24"/>
          <w:b w:val="1"/>
          <w:bCs w:val="1"/>
          <w:color w:val="auto"/>
        </w:rPr>
        <w:t>ясна агрегатна</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b w:val="1"/>
          <w:bCs w:val="1"/>
          <w:color w:val="auto"/>
        </w:rPr>
        <w:t>поляризация</w:t>
      </w:r>
      <w:r>
        <w:rPr>
          <w:rFonts w:ascii="Times New Roman" w:cs="Times New Roman" w:eastAsia="Times New Roman" w:hAnsi="Times New Roman"/>
          <w:sz w:val="24"/>
          <w:szCs w:val="24"/>
          <w:color w:val="auto"/>
        </w:rPr>
        <w:t>. Размерите на зърната варират от</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0.06 mm</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до около</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0.8</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mm, като преобладават</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зърната с размери между 0.3 mm и 0.6 mm. Глауконитът се наблюдава обикновено като струпвания от плътно прилепени едно към друго глауконитови зърна, формиращи глауконитови полета (достигащи до около 7-8 mm), в които „плуват” единични теригенни зърна. Микроскопски количеството на глауконита е около 40 %, а съдейки от рентгеноструктурния анализ той е не по-малко от 60-70%.</w:t>
      </w:r>
    </w:p>
    <w:p>
      <w:pPr>
        <w:jc w:val="both"/>
        <w:ind w:right="60" w:firstLine="566"/>
        <w:spacing w:after="0"/>
        <w:rPr>
          <w:sz w:val="20"/>
          <w:szCs w:val="20"/>
          <w:color w:val="auto"/>
        </w:rPr>
      </w:pPr>
      <w:r>
        <w:rPr>
          <w:rFonts w:ascii="Times New Roman" w:cs="Times New Roman" w:eastAsia="Times New Roman" w:hAnsi="Times New Roman"/>
          <w:sz w:val="24"/>
          <w:szCs w:val="24"/>
          <w:color w:val="auto"/>
        </w:rPr>
        <w:t>Много добре се маркират единични неправилно заоблени, бледокафеникави, изотропни зърна от фосфорсъдържащ минерал, развит в асоциация с глауконитовите зърна.</w:t>
      </w:r>
    </w:p>
    <w:p>
      <w:pPr>
        <w:jc w:val="both"/>
        <w:ind w:right="60" w:firstLine="566"/>
        <w:spacing w:after="0" w:line="239" w:lineRule="auto"/>
        <w:rPr>
          <w:sz w:val="20"/>
          <w:szCs w:val="20"/>
          <w:color w:val="auto"/>
        </w:rPr>
      </w:pPr>
      <w:r>
        <w:rPr>
          <w:rFonts w:ascii="Times New Roman" w:cs="Times New Roman" w:eastAsia="Times New Roman" w:hAnsi="Times New Roman"/>
          <w:sz w:val="24"/>
          <w:szCs w:val="24"/>
          <w:color w:val="auto"/>
        </w:rPr>
        <w:t>Спойката е биминерална; контактно-порова до контактна. Съставена е от слабо разкристализирали микролюспести глинести минерали и калцит. Обемът на спойката по визуална оценка е около 8-10 %. Карбонатната спойка има петнесто разпределение и представлява изолирани или свързани пори, запълнени от бистър калцит.</w:t>
      </w:r>
    </w:p>
    <w:p>
      <w:pPr>
        <w:spacing w:after="0" w:line="1" w:lineRule="exact"/>
        <w:rPr>
          <w:sz w:val="20"/>
          <w:szCs w:val="20"/>
          <w:color w:val="auto"/>
        </w:rPr>
      </w:pPr>
    </w:p>
    <w:p>
      <w:pPr>
        <w:ind w:left="560"/>
        <w:spacing w:after="0"/>
        <w:rPr>
          <w:sz w:val="20"/>
          <w:szCs w:val="20"/>
          <w:color w:val="auto"/>
        </w:rPr>
      </w:pPr>
      <w:r>
        <w:rPr>
          <w:rFonts w:ascii="Times New Roman" w:cs="Times New Roman" w:eastAsia="Times New Roman" w:hAnsi="Times New Roman"/>
          <w:sz w:val="24"/>
          <w:szCs w:val="24"/>
          <w:i w:val="1"/>
          <w:iCs w:val="1"/>
          <w:color w:val="auto"/>
        </w:rPr>
        <w:t>Химичен състав</w:t>
      </w:r>
    </w:p>
    <w:p>
      <w:pPr>
        <w:spacing w:after="0" w:line="4" w:lineRule="exact"/>
        <w:rPr>
          <w:sz w:val="20"/>
          <w:szCs w:val="20"/>
          <w:color w:val="auto"/>
        </w:rPr>
      </w:pPr>
    </w:p>
    <w:p>
      <w:pPr>
        <w:ind w:left="560"/>
        <w:spacing w:after="0"/>
        <w:rPr>
          <w:sz w:val="20"/>
          <w:szCs w:val="20"/>
          <w:color w:val="auto"/>
        </w:rPr>
      </w:pPr>
      <w:r>
        <w:rPr>
          <w:rFonts w:ascii="Times New Roman" w:cs="Times New Roman" w:eastAsia="Times New Roman" w:hAnsi="Times New Roman"/>
          <w:sz w:val="24"/>
          <w:szCs w:val="24"/>
          <w:color w:val="auto"/>
        </w:rPr>
        <w:t>Естественият природен глауконитов минерал има следния състав:</w:t>
      </w:r>
    </w:p>
    <w:tbl>
      <w:tblPr>
        <w:tblLayout w:type="fixed"/>
        <w:tblInd w:w="590" w:type="dxa"/>
        <w:tblCellMar>
          <w:top w:w="0" w:type="dxa"/>
          <w:left w:w="0" w:type="dxa"/>
          <w:bottom w:w="0" w:type="dxa"/>
          <w:right w:w="0" w:type="dxa"/>
        </w:tblCellMar>
      </w:tblPr>
      <w:tr>
        <w:trPr>
          <w:trHeight w:val="301"/>
        </w:trPr>
        <w:tc>
          <w:tcPr>
            <w:tcW w:w="104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1020" w:type="dxa"/>
            <w:vAlign w:val="bottom"/>
          </w:tcPr>
          <w:p>
            <w:pPr>
              <w:spacing w:after="0"/>
              <w:rPr>
                <w:sz w:val="24"/>
                <w:szCs w:val="24"/>
                <w:color w:val="auto"/>
              </w:rPr>
            </w:pPr>
          </w:p>
        </w:tc>
        <w:tc>
          <w:tcPr>
            <w:tcW w:w="102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102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1360" w:type="dxa"/>
            <w:vAlign w:val="bottom"/>
            <w:gridSpan w:val="3"/>
          </w:tcPr>
          <w:p>
            <w:pPr>
              <w:ind w:left="20"/>
              <w:spacing w:after="0"/>
              <w:rPr>
                <w:sz w:val="20"/>
                <w:szCs w:val="20"/>
                <w:color w:val="auto"/>
              </w:rPr>
            </w:pPr>
            <w:r>
              <w:rPr>
                <w:rFonts w:ascii="Times New Roman" w:cs="Times New Roman" w:eastAsia="Times New Roman" w:hAnsi="Times New Roman"/>
                <w:sz w:val="24"/>
                <w:szCs w:val="24"/>
                <w:color w:val="auto"/>
                <w:w w:val="99"/>
              </w:rPr>
              <w:t>Таблица № 1</w:t>
            </w:r>
          </w:p>
        </w:tc>
      </w:tr>
      <w:tr>
        <w:trPr>
          <w:trHeight w:val="254"/>
        </w:trPr>
        <w:tc>
          <w:tcPr>
            <w:tcW w:w="1040" w:type="dxa"/>
            <w:vAlign w:val="bottom"/>
            <w:tcBorders>
              <w:top w:val="single" w:sz="8" w:color="auto"/>
              <w:left w:val="single" w:sz="8" w:color="auto"/>
              <w:bottom w:val="single" w:sz="8" w:color="auto"/>
              <w:right w:val="single" w:sz="8" w:color="auto"/>
            </w:tcBorders>
          </w:tcPr>
          <w:p>
            <w:pPr>
              <w:ind w:left="340"/>
              <w:spacing w:after="0" w:line="245" w:lineRule="exact"/>
              <w:rPr>
                <w:sz w:val="20"/>
                <w:szCs w:val="20"/>
                <w:color w:val="auto"/>
              </w:rPr>
            </w:pPr>
            <w:r>
              <w:rPr>
                <w:rFonts w:ascii="Times New Roman" w:cs="Times New Roman" w:eastAsia="Times New Roman" w:hAnsi="Times New Roman"/>
                <w:sz w:val="20"/>
                <w:szCs w:val="20"/>
                <w:b w:val="1"/>
                <w:bCs w:val="1"/>
                <w:color w:val="auto"/>
              </w:rPr>
              <w:t>SiO</w:t>
            </w:r>
            <w:r>
              <w:rPr>
                <w:rFonts w:ascii="Times New Roman" w:cs="Times New Roman" w:eastAsia="Times New Roman" w:hAnsi="Times New Roman"/>
                <w:sz w:val="26"/>
                <w:szCs w:val="26"/>
                <w:b w:val="1"/>
                <w:bCs w:val="1"/>
                <w:color w:val="auto"/>
                <w:vertAlign w:val="subscript"/>
              </w:rPr>
              <w:t>2</w:t>
            </w:r>
          </w:p>
        </w:tc>
        <w:tc>
          <w:tcPr>
            <w:tcW w:w="1000" w:type="dxa"/>
            <w:vAlign w:val="bottom"/>
            <w:tcBorders>
              <w:top w:val="single" w:sz="8" w:color="auto"/>
              <w:bottom w:val="single" w:sz="8" w:color="auto"/>
              <w:right w:val="single" w:sz="8" w:color="auto"/>
            </w:tcBorders>
          </w:tcPr>
          <w:p>
            <w:pPr>
              <w:jc w:val="center"/>
              <w:spacing w:after="0" w:line="245" w:lineRule="exact"/>
              <w:rPr>
                <w:sz w:val="20"/>
                <w:szCs w:val="20"/>
                <w:color w:val="auto"/>
              </w:rPr>
            </w:pPr>
            <w:r>
              <w:rPr>
                <w:rFonts w:ascii="Times New Roman" w:cs="Times New Roman" w:eastAsia="Times New Roman" w:hAnsi="Times New Roman"/>
                <w:sz w:val="20"/>
                <w:szCs w:val="20"/>
                <w:b w:val="1"/>
                <w:bCs w:val="1"/>
                <w:color w:val="auto"/>
                <w:w w:val="90"/>
              </w:rPr>
              <w:t>Al</w:t>
            </w:r>
            <w:r>
              <w:rPr>
                <w:rFonts w:ascii="Times New Roman" w:cs="Times New Roman" w:eastAsia="Times New Roman" w:hAnsi="Times New Roman"/>
                <w:sz w:val="26"/>
                <w:szCs w:val="26"/>
                <w:b w:val="1"/>
                <w:bCs w:val="1"/>
                <w:color w:val="auto"/>
                <w:w w:val="90"/>
                <w:vertAlign w:val="subscript"/>
              </w:rPr>
              <w:t>2</w:t>
            </w:r>
            <w:r>
              <w:rPr>
                <w:rFonts w:ascii="Times New Roman" w:cs="Times New Roman" w:eastAsia="Times New Roman" w:hAnsi="Times New Roman"/>
                <w:sz w:val="20"/>
                <w:szCs w:val="20"/>
                <w:b w:val="1"/>
                <w:bCs w:val="1"/>
                <w:color w:val="auto"/>
                <w:w w:val="90"/>
              </w:rPr>
              <w:t>O</w:t>
            </w:r>
            <w:r>
              <w:rPr>
                <w:rFonts w:ascii="Times New Roman" w:cs="Times New Roman" w:eastAsia="Times New Roman" w:hAnsi="Times New Roman"/>
                <w:sz w:val="26"/>
                <w:szCs w:val="26"/>
                <w:b w:val="1"/>
                <w:bCs w:val="1"/>
                <w:color w:val="auto"/>
                <w:w w:val="90"/>
                <w:vertAlign w:val="subscript"/>
              </w:rPr>
              <w:t>3</w:t>
            </w:r>
          </w:p>
        </w:tc>
        <w:tc>
          <w:tcPr>
            <w:tcW w:w="1020" w:type="dxa"/>
            <w:vAlign w:val="bottom"/>
            <w:tcBorders>
              <w:top w:val="single" w:sz="8" w:color="auto"/>
              <w:bottom w:val="single" w:sz="8" w:color="auto"/>
              <w:right w:val="single" w:sz="8" w:color="auto"/>
            </w:tcBorders>
          </w:tcPr>
          <w:p>
            <w:pPr>
              <w:jc w:val="center"/>
              <w:spacing w:after="0" w:line="245" w:lineRule="exact"/>
              <w:rPr>
                <w:sz w:val="20"/>
                <w:szCs w:val="20"/>
                <w:color w:val="auto"/>
              </w:rPr>
            </w:pPr>
            <w:r>
              <w:rPr>
                <w:rFonts w:ascii="Times New Roman" w:cs="Times New Roman" w:eastAsia="Times New Roman" w:hAnsi="Times New Roman"/>
                <w:sz w:val="20"/>
                <w:szCs w:val="20"/>
                <w:b w:val="1"/>
                <w:bCs w:val="1"/>
                <w:color w:val="auto"/>
                <w:w w:val="92"/>
              </w:rPr>
              <w:t>Fe</w:t>
            </w:r>
            <w:r>
              <w:rPr>
                <w:rFonts w:ascii="Times New Roman" w:cs="Times New Roman" w:eastAsia="Times New Roman" w:hAnsi="Times New Roman"/>
                <w:sz w:val="26"/>
                <w:szCs w:val="26"/>
                <w:b w:val="1"/>
                <w:bCs w:val="1"/>
                <w:color w:val="auto"/>
                <w:w w:val="92"/>
                <w:vertAlign w:val="subscript"/>
              </w:rPr>
              <w:t>2</w:t>
            </w:r>
            <w:r>
              <w:rPr>
                <w:rFonts w:ascii="Times New Roman" w:cs="Times New Roman" w:eastAsia="Times New Roman" w:hAnsi="Times New Roman"/>
                <w:sz w:val="20"/>
                <w:szCs w:val="20"/>
                <w:b w:val="1"/>
                <w:bCs w:val="1"/>
                <w:color w:val="auto"/>
                <w:w w:val="92"/>
              </w:rPr>
              <w:t>О</w:t>
            </w:r>
            <w:r>
              <w:rPr>
                <w:rFonts w:ascii="Times New Roman" w:cs="Times New Roman" w:eastAsia="Times New Roman" w:hAnsi="Times New Roman"/>
                <w:sz w:val="26"/>
                <w:szCs w:val="26"/>
                <w:b w:val="1"/>
                <w:bCs w:val="1"/>
                <w:color w:val="auto"/>
                <w:w w:val="92"/>
                <w:vertAlign w:val="subscript"/>
              </w:rPr>
              <w:t>3</w:t>
            </w:r>
          </w:p>
        </w:tc>
        <w:tc>
          <w:tcPr>
            <w:tcW w:w="1020" w:type="dxa"/>
            <w:vAlign w:val="bottom"/>
            <w:tcBorders>
              <w:top w:val="single" w:sz="8" w:color="auto"/>
              <w:bottom w:val="single" w:sz="8" w:color="auto"/>
              <w:right w:val="single" w:sz="8" w:color="auto"/>
            </w:tcBorders>
          </w:tcPr>
          <w:p>
            <w:pPr>
              <w:ind w:left="280"/>
              <w:spacing w:after="0"/>
              <w:rPr>
                <w:sz w:val="20"/>
                <w:szCs w:val="20"/>
                <w:color w:val="auto"/>
              </w:rPr>
            </w:pPr>
            <w:r>
              <w:rPr>
                <w:rFonts w:ascii="Times New Roman" w:cs="Times New Roman" w:eastAsia="Times New Roman" w:hAnsi="Times New Roman"/>
                <w:sz w:val="20"/>
                <w:szCs w:val="20"/>
                <w:b w:val="1"/>
                <w:bCs w:val="1"/>
                <w:color w:val="auto"/>
              </w:rPr>
              <w:t>MgO</w:t>
            </w:r>
          </w:p>
        </w:tc>
        <w:tc>
          <w:tcPr>
            <w:tcW w:w="1000" w:type="dxa"/>
            <w:vAlign w:val="bottom"/>
            <w:tcBorders>
              <w:top w:val="single" w:sz="8" w:color="auto"/>
              <w:bottom w:val="single" w:sz="8" w:color="auto"/>
              <w:right w:val="single" w:sz="8" w:color="auto"/>
            </w:tcBorders>
          </w:tcPr>
          <w:p>
            <w:pPr>
              <w:jc w:val="right"/>
              <w:ind w:right="201"/>
              <w:spacing w:after="0"/>
              <w:rPr>
                <w:sz w:val="20"/>
                <w:szCs w:val="20"/>
                <w:color w:val="auto"/>
              </w:rPr>
            </w:pPr>
            <w:r>
              <w:rPr>
                <w:rFonts w:ascii="Times New Roman" w:cs="Times New Roman" w:eastAsia="Times New Roman" w:hAnsi="Times New Roman"/>
                <w:sz w:val="20"/>
                <w:szCs w:val="20"/>
                <w:b w:val="1"/>
                <w:bCs w:val="1"/>
                <w:color w:val="auto"/>
              </w:rPr>
              <w:t>CaO</w:t>
            </w:r>
          </w:p>
        </w:tc>
        <w:tc>
          <w:tcPr>
            <w:tcW w:w="1020" w:type="dxa"/>
            <w:vAlign w:val="bottom"/>
            <w:tcBorders>
              <w:top w:val="single" w:sz="8" w:color="auto"/>
              <w:bottom w:val="single" w:sz="8" w:color="auto"/>
              <w:right w:val="single" w:sz="8" w:color="auto"/>
            </w:tcBorders>
          </w:tcPr>
          <w:p>
            <w:pPr>
              <w:ind w:left="320"/>
              <w:spacing w:after="0" w:line="245" w:lineRule="exact"/>
              <w:rPr>
                <w:sz w:val="20"/>
                <w:szCs w:val="20"/>
                <w:color w:val="auto"/>
              </w:rPr>
            </w:pPr>
            <w:r>
              <w:rPr>
                <w:rFonts w:ascii="Times New Roman" w:cs="Times New Roman" w:eastAsia="Times New Roman" w:hAnsi="Times New Roman"/>
                <w:sz w:val="20"/>
                <w:szCs w:val="20"/>
                <w:b w:val="1"/>
                <w:bCs w:val="1"/>
                <w:color w:val="auto"/>
              </w:rPr>
              <w:t>K</w:t>
            </w:r>
            <w:r>
              <w:rPr>
                <w:rFonts w:ascii="Times New Roman" w:cs="Times New Roman" w:eastAsia="Times New Roman" w:hAnsi="Times New Roman"/>
                <w:sz w:val="26"/>
                <w:szCs w:val="26"/>
                <w:b w:val="1"/>
                <w:bCs w:val="1"/>
                <w:color w:val="auto"/>
                <w:vertAlign w:val="subscript"/>
              </w:rPr>
              <w:t>2</w:t>
            </w:r>
            <w:r>
              <w:rPr>
                <w:rFonts w:ascii="Times New Roman" w:cs="Times New Roman" w:eastAsia="Times New Roman" w:hAnsi="Times New Roman"/>
                <w:sz w:val="20"/>
                <w:szCs w:val="20"/>
                <w:b w:val="1"/>
                <w:bCs w:val="1"/>
                <w:color w:val="auto"/>
              </w:rPr>
              <w:t>O</w:t>
            </w:r>
          </w:p>
        </w:tc>
        <w:tc>
          <w:tcPr>
            <w:tcW w:w="1000" w:type="dxa"/>
            <w:vAlign w:val="bottom"/>
            <w:tcBorders>
              <w:top w:val="single" w:sz="8" w:color="auto"/>
              <w:bottom w:val="single" w:sz="8" w:color="auto"/>
              <w:right w:val="single" w:sz="8" w:color="auto"/>
            </w:tcBorders>
          </w:tcPr>
          <w:p>
            <w:pPr>
              <w:jc w:val="center"/>
              <w:spacing w:after="0" w:line="245" w:lineRule="exact"/>
              <w:rPr>
                <w:sz w:val="20"/>
                <w:szCs w:val="20"/>
                <w:color w:val="auto"/>
              </w:rPr>
            </w:pPr>
            <w:r>
              <w:rPr>
                <w:rFonts w:ascii="Times New Roman" w:cs="Times New Roman" w:eastAsia="Times New Roman" w:hAnsi="Times New Roman"/>
                <w:sz w:val="20"/>
                <w:szCs w:val="20"/>
                <w:b w:val="1"/>
                <w:bCs w:val="1"/>
                <w:color w:val="auto"/>
                <w:w w:val="94"/>
              </w:rPr>
              <w:t>Na</w:t>
            </w:r>
            <w:r>
              <w:rPr>
                <w:rFonts w:ascii="Times New Roman" w:cs="Times New Roman" w:eastAsia="Times New Roman" w:hAnsi="Times New Roman"/>
                <w:sz w:val="26"/>
                <w:szCs w:val="26"/>
                <w:b w:val="1"/>
                <w:bCs w:val="1"/>
                <w:color w:val="auto"/>
                <w:w w:val="94"/>
                <w:vertAlign w:val="subscript"/>
              </w:rPr>
              <w:t>2</w:t>
            </w:r>
            <w:r>
              <w:rPr>
                <w:rFonts w:ascii="Times New Roman" w:cs="Times New Roman" w:eastAsia="Times New Roman" w:hAnsi="Times New Roman"/>
                <w:sz w:val="20"/>
                <w:szCs w:val="20"/>
                <w:b w:val="1"/>
                <w:bCs w:val="1"/>
                <w:color w:val="auto"/>
                <w:w w:val="94"/>
              </w:rPr>
              <w:t>O</w:t>
            </w:r>
          </w:p>
        </w:tc>
        <w:tc>
          <w:tcPr>
            <w:tcW w:w="780" w:type="dxa"/>
            <w:vAlign w:val="bottom"/>
            <w:tcBorders>
              <w:top w:val="single" w:sz="8" w:color="auto"/>
              <w:bottom w:val="single" w:sz="8" w:color="auto"/>
            </w:tcBorders>
          </w:tcPr>
          <w:p>
            <w:pPr>
              <w:ind w:left="280"/>
              <w:spacing w:after="0"/>
              <w:rPr>
                <w:sz w:val="20"/>
                <w:szCs w:val="20"/>
                <w:color w:val="auto"/>
              </w:rPr>
            </w:pPr>
            <w:r>
              <w:rPr>
                <w:rFonts w:ascii="Times New Roman" w:cs="Times New Roman" w:eastAsia="Times New Roman" w:hAnsi="Times New Roman"/>
                <w:sz w:val="20"/>
                <w:szCs w:val="20"/>
                <w:b w:val="1"/>
                <w:bCs w:val="1"/>
                <w:color w:val="auto"/>
              </w:rPr>
              <w:t>MnO</w:t>
            </w:r>
          </w:p>
        </w:tc>
        <w:tc>
          <w:tcPr>
            <w:tcW w:w="240" w:type="dxa"/>
            <w:vAlign w:val="bottom"/>
            <w:tcBorders>
              <w:top w:val="single" w:sz="8" w:color="auto"/>
              <w:bottom w:val="single" w:sz="8" w:color="auto"/>
              <w:right w:val="single" w:sz="8" w:color="auto"/>
            </w:tcBorders>
          </w:tcPr>
          <w:p>
            <w:pPr>
              <w:spacing w:after="0"/>
              <w:rPr>
                <w:sz w:val="22"/>
                <w:szCs w:val="22"/>
                <w:color w:val="auto"/>
              </w:rPr>
            </w:pPr>
          </w:p>
        </w:tc>
        <w:tc>
          <w:tcPr>
            <w:tcW w:w="1000" w:type="dxa"/>
            <w:vAlign w:val="bottom"/>
            <w:tcBorders>
              <w:top w:val="single" w:sz="8" w:color="auto"/>
              <w:bottom w:val="single" w:sz="8" w:color="auto"/>
              <w:right w:val="single" w:sz="8" w:color="auto"/>
            </w:tcBorders>
          </w:tcPr>
          <w:p>
            <w:pPr>
              <w:jc w:val="center"/>
              <w:spacing w:after="0" w:line="245" w:lineRule="exact"/>
              <w:rPr>
                <w:sz w:val="20"/>
                <w:szCs w:val="20"/>
                <w:color w:val="auto"/>
              </w:rPr>
            </w:pPr>
            <w:r>
              <w:rPr>
                <w:rFonts w:ascii="Times New Roman" w:cs="Times New Roman" w:eastAsia="Times New Roman" w:hAnsi="Times New Roman"/>
                <w:sz w:val="20"/>
                <w:szCs w:val="20"/>
                <w:b w:val="1"/>
                <w:bCs w:val="1"/>
                <w:color w:val="auto"/>
                <w:w w:val="88"/>
              </w:rPr>
              <w:t>P</w:t>
            </w:r>
            <w:r>
              <w:rPr>
                <w:rFonts w:ascii="Times New Roman" w:cs="Times New Roman" w:eastAsia="Times New Roman" w:hAnsi="Times New Roman"/>
                <w:sz w:val="26"/>
                <w:szCs w:val="26"/>
                <w:b w:val="1"/>
                <w:bCs w:val="1"/>
                <w:color w:val="auto"/>
                <w:w w:val="88"/>
                <w:vertAlign w:val="subscript"/>
              </w:rPr>
              <w:t>2</w:t>
            </w:r>
            <w:r>
              <w:rPr>
                <w:rFonts w:ascii="Times New Roman" w:cs="Times New Roman" w:eastAsia="Times New Roman" w:hAnsi="Times New Roman"/>
                <w:sz w:val="20"/>
                <w:szCs w:val="20"/>
                <w:b w:val="1"/>
                <w:bCs w:val="1"/>
                <w:color w:val="auto"/>
                <w:w w:val="88"/>
              </w:rPr>
              <w:t>O</w:t>
            </w:r>
            <w:r>
              <w:rPr>
                <w:rFonts w:ascii="Times New Roman" w:cs="Times New Roman" w:eastAsia="Times New Roman" w:hAnsi="Times New Roman"/>
                <w:sz w:val="26"/>
                <w:szCs w:val="26"/>
                <w:b w:val="1"/>
                <w:bCs w:val="1"/>
                <w:color w:val="auto"/>
                <w:w w:val="88"/>
                <w:vertAlign w:val="subscript"/>
              </w:rPr>
              <w:t>5</w:t>
            </w:r>
          </w:p>
        </w:tc>
        <w:tc>
          <w:tcPr>
            <w:tcW w:w="120" w:type="dxa"/>
            <w:vAlign w:val="bottom"/>
          </w:tcPr>
          <w:p>
            <w:pPr>
              <w:spacing w:after="0"/>
              <w:rPr>
                <w:sz w:val="22"/>
                <w:szCs w:val="22"/>
                <w:color w:val="auto"/>
              </w:rPr>
            </w:pPr>
          </w:p>
        </w:tc>
      </w:tr>
      <w:tr>
        <w:trPr>
          <w:trHeight w:val="225"/>
        </w:trPr>
        <w:tc>
          <w:tcPr>
            <w:tcW w:w="1040" w:type="dxa"/>
            <w:vAlign w:val="bottom"/>
            <w:tcBorders>
              <w:left w:val="single" w:sz="8" w:color="auto"/>
              <w:bottom w:val="single" w:sz="8" w:color="auto"/>
              <w:right w:val="single" w:sz="8" w:color="auto"/>
            </w:tcBorders>
          </w:tcPr>
          <w:p>
            <w:pPr>
              <w:ind w:left="340"/>
              <w:spacing w:after="0" w:line="216" w:lineRule="exact"/>
              <w:rPr>
                <w:sz w:val="20"/>
                <w:szCs w:val="20"/>
                <w:color w:val="auto"/>
              </w:rPr>
            </w:pPr>
            <w:r>
              <w:rPr>
                <w:rFonts w:ascii="Arial" w:cs="Arial" w:eastAsia="Arial" w:hAnsi="Arial"/>
                <w:sz w:val="20"/>
                <w:szCs w:val="20"/>
                <w:color w:val="auto"/>
              </w:rPr>
              <w:t>52.9</w:t>
            </w:r>
          </w:p>
        </w:tc>
        <w:tc>
          <w:tcPr>
            <w:tcW w:w="1000" w:type="dxa"/>
            <w:vAlign w:val="bottom"/>
            <w:tcBorders>
              <w:bottom w:val="single" w:sz="8" w:color="auto"/>
              <w:right w:val="single" w:sz="8" w:color="auto"/>
            </w:tcBorders>
          </w:tcPr>
          <w:p>
            <w:pPr>
              <w:jc w:val="right"/>
              <w:ind w:right="201"/>
              <w:spacing w:after="0" w:line="216" w:lineRule="exact"/>
              <w:rPr>
                <w:sz w:val="20"/>
                <w:szCs w:val="20"/>
                <w:color w:val="auto"/>
              </w:rPr>
            </w:pPr>
            <w:r>
              <w:rPr>
                <w:rFonts w:ascii="Arial" w:cs="Arial" w:eastAsia="Arial" w:hAnsi="Arial"/>
                <w:sz w:val="20"/>
                <w:szCs w:val="20"/>
                <w:color w:val="auto"/>
              </w:rPr>
              <w:t>11.8</w:t>
            </w:r>
          </w:p>
        </w:tc>
        <w:tc>
          <w:tcPr>
            <w:tcW w:w="1020" w:type="dxa"/>
            <w:vAlign w:val="bottom"/>
            <w:tcBorders>
              <w:bottom w:val="single" w:sz="8" w:color="auto"/>
              <w:right w:val="single" w:sz="8" w:color="auto"/>
            </w:tcBorders>
          </w:tcPr>
          <w:p>
            <w:pPr>
              <w:jc w:val="right"/>
              <w:ind w:right="221"/>
              <w:spacing w:after="0" w:line="216" w:lineRule="exact"/>
              <w:rPr>
                <w:sz w:val="20"/>
                <w:szCs w:val="20"/>
                <w:color w:val="auto"/>
              </w:rPr>
            </w:pPr>
            <w:r>
              <w:rPr>
                <w:rFonts w:ascii="Arial" w:cs="Arial" w:eastAsia="Arial" w:hAnsi="Arial"/>
                <w:sz w:val="20"/>
                <w:szCs w:val="20"/>
                <w:color w:val="auto"/>
              </w:rPr>
              <w:t>16.7</w:t>
            </w:r>
          </w:p>
        </w:tc>
        <w:tc>
          <w:tcPr>
            <w:tcW w:w="1020" w:type="dxa"/>
            <w:vAlign w:val="bottom"/>
            <w:tcBorders>
              <w:bottom w:val="single" w:sz="8" w:color="auto"/>
              <w:right w:val="single" w:sz="8" w:color="auto"/>
            </w:tcBorders>
          </w:tcPr>
          <w:p>
            <w:pPr>
              <w:ind w:left="320"/>
              <w:spacing w:after="0" w:line="216" w:lineRule="exact"/>
              <w:rPr>
                <w:sz w:val="20"/>
                <w:szCs w:val="20"/>
                <w:color w:val="auto"/>
              </w:rPr>
            </w:pPr>
            <w:r>
              <w:rPr>
                <w:rFonts w:ascii="Arial" w:cs="Arial" w:eastAsia="Arial" w:hAnsi="Arial"/>
                <w:sz w:val="20"/>
                <w:szCs w:val="20"/>
                <w:color w:val="auto"/>
              </w:rPr>
              <w:t>4.31</w:t>
            </w:r>
          </w:p>
        </w:tc>
        <w:tc>
          <w:tcPr>
            <w:tcW w:w="1000" w:type="dxa"/>
            <w:vAlign w:val="bottom"/>
            <w:tcBorders>
              <w:bottom w:val="single" w:sz="8" w:color="auto"/>
              <w:right w:val="single" w:sz="8" w:color="auto"/>
            </w:tcBorders>
          </w:tcPr>
          <w:p>
            <w:pPr>
              <w:jc w:val="right"/>
              <w:ind w:right="201"/>
              <w:spacing w:after="0" w:line="216" w:lineRule="exact"/>
              <w:rPr>
                <w:sz w:val="20"/>
                <w:szCs w:val="20"/>
                <w:color w:val="auto"/>
              </w:rPr>
            </w:pPr>
            <w:r>
              <w:rPr>
                <w:rFonts w:ascii="Arial" w:cs="Arial" w:eastAsia="Arial" w:hAnsi="Arial"/>
                <w:sz w:val="20"/>
                <w:szCs w:val="20"/>
                <w:color w:val="auto"/>
              </w:rPr>
              <w:t>0.82</w:t>
            </w:r>
          </w:p>
        </w:tc>
        <w:tc>
          <w:tcPr>
            <w:tcW w:w="1020" w:type="dxa"/>
            <w:vAlign w:val="bottom"/>
            <w:tcBorders>
              <w:bottom w:val="single" w:sz="8" w:color="auto"/>
              <w:right w:val="single" w:sz="8" w:color="auto"/>
            </w:tcBorders>
          </w:tcPr>
          <w:p>
            <w:pPr>
              <w:ind w:left="320"/>
              <w:spacing w:after="0" w:line="216" w:lineRule="exact"/>
              <w:rPr>
                <w:sz w:val="20"/>
                <w:szCs w:val="20"/>
                <w:color w:val="auto"/>
              </w:rPr>
            </w:pPr>
            <w:r>
              <w:rPr>
                <w:rFonts w:ascii="Arial" w:cs="Arial" w:eastAsia="Arial" w:hAnsi="Arial"/>
                <w:sz w:val="20"/>
                <w:szCs w:val="20"/>
                <w:color w:val="auto"/>
              </w:rPr>
              <w:t>8.52</w:t>
            </w:r>
          </w:p>
        </w:tc>
        <w:tc>
          <w:tcPr>
            <w:tcW w:w="1000" w:type="dxa"/>
            <w:vAlign w:val="bottom"/>
            <w:tcBorders>
              <w:bottom w:val="single" w:sz="8" w:color="auto"/>
              <w:right w:val="single" w:sz="8" w:color="auto"/>
            </w:tcBorders>
          </w:tcPr>
          <w:p>
            <w:pPr>
              <w:jc w:val="right"/>
              <w:ind w:right="201"/>
              <w:spacing w:after="0" w:line="216" w:lineRule="exact"/>
              <w:rPr>
                <w:sz w:val="20"/>
                <w:szCs w:val="20"/>
                <w:color w:val="auto"/>
              </w:rPr>
            </w:pPr>
            <w:r>
              <w:rPr>
                <w:rFonts w:ascii="Arial" w:cs="Arial" w:eastAsia="Arial" w:hAnsi="Arial"/>
                <w:sz w:val="20"/>
                <w:szCs w:val="20"/>
                <w:color w:val="auto"/>
              </w:rPr>
              <w:t>0.14</w:t>
            </w:r>
          </w:p>
        </w:tc>
        <w:tc>
          <w:tcPr>
            <w:tcW w:w="780" w:type="dxa"/>
            <w:vAlign w:val="bottom"/>
            <w:tcBorders>
              <w:bottom w:val="single" w:sz="8" w:color="auto"/>
            </w:tcBorders>
          </w:tcPr>
          <w:p>
            <w:pPr>
              <w:ind w:left="320"/>
              <w:spacing w:after="0" w:line="216" w:lineRule="exact"/>
              <w:rPr>
                <w:sz w:val="20"/>
                <w:szCs w:val="20"/>
                <w:color w:val="auto"/>
              </w:rPr>
            </w:pPr>
            <w:r>
              <w:rPr>
                <w:rFonts w:ascii="Arial" w:cs="Arial" w:eastAsia="Arial" w:hAnsi="Arial"/>
                <w:sz w:val="20"/>
                <w:szCs w:val="20"/>
                <w:color w:val="auto"/>
              </w:rPr>
              <w:t>0.03</w:t>
            </w:r>
          </w:p>
        </w:tc>
        <w:tc>
          <w:tcPr>
            <w:tcW w:w="240" w:type="dxa"/>
            <w:vAlign w:val="bottom"/>
            <w:tcBorders>
              <w:bottom w:val="single" w:sz="8" w:color="auto"/>
              <w:right w:val="single" w:sz="8" w:color="auto"/>
            </w:tcBorders>
          </w:tcPr>
          <w:p>
            <w:pPr>
              <w:spacing w:after="0"/>
              <w:rPr>
                <w:sz w:val="19"/>
                <w:szCs w:val="19"/>
                <w:color w:val="auto"/>
              </w:rPr>
            </w:pPr>
          </w:p>
        </w:tc>
        <w:tc>
          <w:tcPr>
            <w:tcW w:w="1000" w:type="dxa"/>
            <w:vAlign w:val="bottom"/>
            <w:tcBorders>
              <w:bottom w:val="single" w:sz="8" w:color="auto"/>
              <w:right w:val="single" w:sz="8" w:color="auto"/>
            </w:tcBorders>
          </w:tcPr>
          <w:p>
            <w:pPr>
              <w:jc w:val="right"/>
              <w:spacing w:after="0" w:line="216" w:lineRule="exact"/>
              <w:rPr>
                <w:sz w:val="20"/>
                <w:szCs w:val="20"/>
                <w:color w:val="auto"/>
              </w:rPr>
            </w:pPr>
            <w:r>
              <w:rPr>
                <w:rFonts w:ascii="Arial" w:cs="Arial" w:eastAsia="Arial" w:hAnsi="Arial"/>
                <w:sz w:val="20"/>
                <w:szCs w:val="20"/>
                <w:color w:val="auto"/>
              </w:rPr>
              <w:t>0.04-0.26</w:t>
            </w:r>
          </w:p>
        </w:tc>
        <w:tc>
          <w:tcPr>
            <w:tcW w:w="120" w:type="dxa"/>
            <w:vAlign w:val="bottom"/>
          </w:tcPr>
          <w:p>
            <w:pPr>
              <w:spacing w:after="0"/>
              <w:rPr>
                <w:sz w:val="19"/>
                <w:szCs w:val="19"/>
                <w:color w:val="auto"/>
              </w:rPr>
            </w:pPr>
          </w:p>
        </w:tc>
      </w:tr>
    </w:tbl>
    <w:p>
      <w:pPr>
        <w:spacing w:after="0" w:line="95" w:lineRule="exact"/>
        <w:rPr>
          <w:sz w:val="20"/>
          <w:szCs w:val="20"/>
          <w:color w:val="auto"/>
        </w:rPr>
      </w:pPr>
    </w:p>
    <w:p>
      <w:pPr>
        <w:ind w:left="560"/>
        <w:spacing w:after="0"/>
        <w:rPr>
          <w:sz w:val="20"/>
          <w:szCs w:val="20"/>
          <w:color w:val="auto"/>
        </w:rPr>
      </w:pPr>
      <w:r>
        <w:rPr>
          <w:rFonts w:ascii="Times New Roman" w:cs="Times New Roman" w:eastAsia="Times New Roman" w:hAnsi="Times New Roman"/>
          <w:sz w:val="24"/>
          <w:szCs w:val="24"/>
          <w:b w:val="1"/>
          <w:bCs w:val="1"/>
          <w:i w:val="1"/>
          <w:iCs w:val="1"/>
          <w:color w:val="auto"/>
        </w:rPr>
        <w:t>3.2.2 Идентификация на видовете отпадъци</w:t>
      </w:r>
    </w:p>
    <w:p>
      <w:pPr>
        <w:spacing w:after="0" w:line="1" w:lineRule="exact"/>
        <w:rPr>
          <w:sz w:val="20"/>
          <w:szCs w:val="20"/>
          <w:color w:val="auto"/>
        </w:rPr>
      </w:pPr>
    </w:p>
    <w:p>
      <w:pPr>
        <w:ind w:right="60" w:firstLine="566"/>
        <w:spacing w:after="0" w:line="245" w:lineRule="auto"/>
        <w:rPr>
          <w:sz w:val="20"/>
          <w:szCs w:val="20"/>
          <w:color w:val="auto"/>
        </w:rPr>
      </w:pPr>
      <w:r>
        <w:rPr>
          <w:rFonts w:ascii="Times New Roman" w:cs="Times New Roman" w:eastAsia="Times New Roman" w:hAnsi="Times New Roman"/>
          <w:sz w:val="24"/>
          <w:szCs w:val="24"/>
          <w:color w:val="auto"/>
        </w:rPr>
        <w:t>Съгласно чл. 22б от ЗПБ, чл. 15, ал. 1 и ал. 2 от Наредбата за управление на минните отпадъци, минните отпадъци формирани при експлоатацията на находище „Глория” се класифицират като:</w:t>
      </w:r>
    </w:p>
    <w:p>
      <w:pPr>
        <w:spacing w:after="0" w:line="1" w:lineRule="exact"/>
        <w:rPr>
          <w:sz w:val="20"/>
          <w:szCs w:val="20"/>
          <w:color w:val="auto"/>
        </w:rPr>
      </w:pPr>
    </w:p>
    <w:p>
      <w:pPr>
        <w:ind w:left="1280" w:hanging="362"/>
        <w:spacing w:after="0"/>
        <w:tabs>
          <w:tab w:leader="none" w:pos="1280" w:val="left"/>
        </w:tabs>
        <w:numPr>
          <w:ilvl w:val="0"/>
          <w:numId w:val="17"/>
        </w:numPr>
        <w:rPr>
          <w:rFonts w:ascii="Symbol" w:cs="Symbol" w:eastAsia="Symbol" w:hAnsi="Symbol"/>
          <w:sz w:val="24"/>
          <w:szCs w:val="24"/>
          <w:color w:val="auto"/>
        </w:rPr>
      </w:pPr>
      <w:r>
        <w:rPr>
          <w:rFonts w:ascii="Times New Roman" w:cs="Times New Roman" w:eastAsia="Times New Roman" w:hAnsi="Times New Roman"/>
          <w:sz w:val="24"/>
          <w:szCs w:val="24"/>
          <w:b w:val="1"/>
          <w:bCs w:val="1"/>
          <w:i w:val="1"/>
          <w:iCs w:val="1"/>
          <w:color w:val="auto"/>
        </w:rPr>
        <w:t xml:space="preserve">Незамърсени почви </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b w:val="1"/>
          <w:bCs w:val="1"/>
          <w:i w:val="1"/>
          <w:iCs w:val="1"/>
          <w:color w:val="auto"/>
        </w:rPr>
        <w:t xml:space="preserve"> </w:t>
      </w:r>
      <w:r>
        <w:rPr>
          <w:rFonts w:ascii="Times New Roman" w:cs="Times New Roman" w:eastAsia="Times New Roman" w:hAnsi="Times New Roman"/>
          <w:sz w:val="24"/>
          <w:szCs w:val="24"/>
          <w:color w:val="auto"/>
        </w:rPr>
        <w:t>почвените материали, покриващи находището и</w:t>
      </w:r>
    </w:p>
    <w:p>
      <w:pPr>
        <w:ind w:left="1280" w:right="60" w:hanging="362"/>
        <w:spacing w:after="0" w:line="260" w:lineRule="auto"/>
        <w:tabs>
          <w:tab w:leader="none" w:pos="1280" w:val="left"/>
        </w:tabs>
        <w:numPr>
          <w:ilvl w:val="0"/>
          <w:numId w:val="17"/>
        </w:numPr>
        <w:rPr>
          <w:rFonts w:ascii="Symbol" w:cs="Symbol" w:eastAsia="Symbol" w:hAnsi="Symbol"/>
          <w:sz w:val="24"/>
          <w:szCs w:val="24"/>
          <w:color w:val="auto"/>
        </w:rPr>
      </w:pPr>
      <w:r>
        <w:rPr>
          <w:rFonts w:ascii="Times New Roman" w:cs="Times New Roman" w:eastAsia="Times New Roman" w:hAnsi="Times New Roman"/>
          <w:sz w:val="24"/>
          <w:szCs w:val="24"/>
          <w:b w:val="1"/>
          <w:bCs w:val="1"/>
          <w:i w:val="1"/>
          <w:iCs w:val="1"/>
          <w:color w:val="auto"/>
        </w:rPr>
        <w:t xml:space="preserve">Инертни отпадъци </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b w:val="1"/>
          <w:bCs w:val="1"/>
          <w:i w:val="1"/>
          <w:iCs w:val="1"/>
          <w:color w:val="auto"/>
        </w:rPr>
        <w:t xml:space="preserve"> </w:t>
      </w:r>
      <w:r>
        <w:rPr>
          <w:rFonts w:ascii="Times New Roman" w:cs="Times New Roman" w:eastAsia="Times New Roman" w:hAnsi="Times New Roman"/>
          <w:sz w:val="24"/>
          <w:szCs w:val="24"/>
          <w:color w:val="auto"/>
        </w:rPr>
        <w:t>скална откривка, представена от изветрял повърхностен слой</w:t>
      </w:r>
      <w:r>
        <w:rPr>
          <w:rFonts w:ascii="Times New Roman" w:cs="Times New Roman" w:eastAsia="Times New Roman" w:hAnsi="Times New Roman"/>
          <w:sz w:val="24"/>
          <w:szCs w:val="24"/>
          <w:b w:val="1"/>
          <w:bCs w:val="1"/>
          <w:i w:val="1"/>
          <w:iCs w:val="1"/>
          <w:color w:val="auto"/>
        </w:rPr>
        <w:t xml:space="preserve"> </w:t>
      </w:r>
      <w:r>
        <w:rPr>
          <w:rFonts w:ascii="Times New Roman" w:cs="Times New Roman" w:eastAsia="Times New Roman" w:hAnsi="Times New Roman"/>
          <w:sz w:val="24"/>
          <w:szCs w:val="24"/>
          <w:color w:val="auto"/>
        </w:rPr>
        <w:t>пясъчник и е беден, с много малко съдържание и/или отсъствие на глауконит.</w:t>
      </w:r>
    </w:p>
    <w:p>
      <w:pPr>
        <w:spacing w:after="0" w:line="8" w:lineRule="exact"/>
        <w:rPr>
          <w:sz w:val="20"/>
          <w:szCs w:val="20"/>
          <w:color w:val="auto"/>
        </w:rPr>
      </w:pPr>
    </w:p>
    <w:p>
      <w:pPr>
        <w:jc w:val="both"/>
        <w:ind w:right="60" w:firstLine="566"/>
        <w:spacing w:after="0"/>
        <w:rPr>
          <w:sz w:val="20"/>
          <w:szCs w:val="20"/>
          <w:color w:val="auto"/>
        </w:rPr>
      </w:pPr>
      <w:r>
        <w:rPr>
          <w:rFonts w:ascii="Times New Roman" w:cs="Times New Roman" w:eastAsia="Times New Roman" w:hAnsi="Times New Roman"/>
          <w:sz w:val="24"/>
          <w:szCs w:val="24"/>
          <w:color w:val="auto"/>
        </w:rPr>
        <w:t>Почвеният слой като минен отпадък следва да се причисли към категорията на незамърсените почви. Основание за това е обстоятелството, че почвеният слой се снема от планински терен и не е подложен на никакви химически обработки и замърсяване с вредности. В проекта се предвижда той да се депонира на временно почвено депо, разположено в рамките на концесионната площ. Почвените материали ще се използват за рекултивационни дейности и се предвижда да бъдат оползотворени в края на концесионния срок.</w:t>
      </w:r>
    </w:p>
    <w:p>
      <w:pPr>
        <w:jc w:val="both"/>
        <w:ind w:right="60" w:firstLine="566"/>
        <w:spacing w:after="0" w:line="244" w:lineRule="auto"/>
        <w:rPr>
          <w:sz w:val="20"/>
          <w:szCs w:val="20"/>
          <w:color w:val="auto"/>
        </w:rPr>
      </w:pPr>
      <w:r>
        <w:rPr>
          <w:rFonts w:ascii="Times New Roman" w:cs="Times New Roman" w:eastAsia="Times New Roman" w:hAnsi="Times New Roman"/>
          <w:sz w:val="24"/>
          <w:szCs w:val="24"/>
          <w:color w:val="auto"/>
        </w:rPr>
        <w:t>Скалната откривка следва да се причисли към категорията на инертните минни отпадъци, тъй като се състои от изветрял повърхностен слой пясъчник и е беден, с много малко съдържание и/или отсъствие на глауконит, който е икономически неизгоден за последваща преработка и сепариране. Тя се отнема от земните недра, непосредствено под земната повърхност. Тя също не е подложена на химическа или физическа обработка и не е била в контакт с някакви замърсяващи производства и агенти. Тя не съдържа опасни или вредни за околната среда елементи. Отстраняването на откривката се извършва при разкриването на запасите от глауконитови пясъчници и е отпадък при разкриване на неметални полезни изкопаеми.</w:t>
      </w:r>
    </w:p>
    <w:p>
      <w:pPr>
        <w:spacing w:after="0" w:line="82" w:lineRule="exact"/>
        <w:rPr>
          <w:sz w:val="20"/>
          <w:szCs w:val="20"/>
          <w:color w:val="auto"/>
        </w:rPr>
      </w:pPr>
    </w:p>
    <w:p>
      <w:pPr>
        <w:ind w:left="560"/>
        <w:spacing w:after="0"/>
        <w:rPr>
          <w:sz w:val="20"/>
          <w:szCs w:val="20"/>
          <w:color w:val="auto"/>
        </w:rPr>
      </w:pPr>
      <w:r>
        <w:rPr>
          <w:rFonts w:ascii="Times New Roman" w:cs="Times New Roman" w:eastAsia="Times New Roman" w:hAnsi="Times New Roman"/>
          <w:sz w:val="24"/>
          <w:szCs w:val="24"/>
          <w:b w:val="1"/>
          <w:bCs w:val="1"/>
          <w:i w:val="1"/>
          <w:iCs w:val="1"/>
          <w:color w:val="auto"/>
        </w:rPr>
        <w:t>3.3 Естество на минните отпадъци</w:t>
      </w:r>
    </w:p>
    <w:p>
      <w:pPr>
        <w:spacing w:after="0" w:line="120" w:lineRule="exact"/>
        <w:rPr>
          <w:sz w:val="20"/>
          <w:szCs w:val="20"/>
          <w:color w:val="auto"/>
        </w:rPr>
      </w:pPr>
    </w:p>
    <w:p>
      <w:pPr>
        <w:ind w:left="560"/>
        <w:spacing w:after="0"/>
        <w:rPr>
          <w:sz w:val="20"/>
          <w:szCs w:val="20"/>
          <w:color w:val="auto"/>
        </w:rPr>
      </w:pPr>
      <w:r>
        <w:rPr>
          <w:rFonts w:ascii="Times New Roman" w:cs="Times New Roman" w:eastAsia="Times New Roman" w:hAnsi="Times New Roman"/>
          <w:sz w:val="24"/>
          <w:szCs w:val="24"/>
          <w:b w:val="1"/>
          <w:bCs w:val="1"/>
          <w:i w:val="1"/>
          <w:iCs w:val="1"/>
          <w:color w:val="auto"/>
        </w:rPr>
        <w:t>3.3.1 Произход на отпадъците</w:t>
      </w:r>
    </w:p>
    <w:p>
      <w:pPr>
        <w:spacing w:after="0" w:line="1" w:lineRule="exact"/>
        <w:rPr>
          <w:sz w:val="20"/>
          <w:szCs w:val="20"/>
          <w:color w:val="auto"/>
        </w:rPr>
      </w:pPr>
    </w:p>
    <w:p>
      <w:pPr>
        <w:jc w:val="both"/>
        <w:ind w:right="60" w:firstLine="566"/>
        <w:spacing w:after="0" w:line="250" w:lineRule="auto"/>
        <w:rPr>
          <w:sz w:val="20"/>
          <w:szCs w:val="20"/>
          <w:color w:val="auto"/>
        </w:rPr>
      </w:pPr>
      <w:r>
        <w:rPr>
          <w:rFonts w:ascii="Times New Roman" w:cs="Times New Roman" w:eastAsia="Times New Roman" w:hAnsi="Times New Roman"/>
          <w:sz w:val="24"/>
          <w:szCs w:val="24"/>
          <w:color w:val="auto"/>
        </w:rPr>
        <w:t>При разработването на кариерата се отстранява разкривка, каквато е установена за находището. Разкривни работи се извършват на ненарушения терен в участъците, в които ще се води добива. Разкривката представлява почвен материал и скална маса. В този аспект почвения материал и скалната разкривка представляват минни отпадъци.</w:t>
      </w:r>
    </w:p>
    <w:p>
      <w:pPr>
        <w:spacing w:after="0" w:line="252"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0"/>
          <w:szCs w:val="20"/>
          <w:color w:val="auto"/>
        </w:rPr>
        <w:t>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-15240</wp:posOffset>
            </wp:positionH>
            <wp:positionV relativeFrom="paragraph">
              <wp:posOffset>-60325</wp:posOffset>
            </wp:positionV>
            <wp:extent cx="6438900" cy="2857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a:extLst>
                        <a:ext uri="{28A0092B-C50C-407E-A947-70E740481C1C}"/>
                      </a:extLst>
                    </a:blip>
                    <a:srcRect/>
                    <a:stretch>
                      <a:fillRect/>
                    </a:stretch>
                  </pic:blipFill>
                  <pic:spPr bwMode="auto">
                    <a:xfrm>
                      <a:off x="0" y="0"/>
                      <a:ext cx="6438900" cy="28575"/>
                    </a:xfrm>
                    <a:prstGeom prst="rect">
                      <a:avLst/>
                    </a:prstGeom>
                    <a:noFill/>
                  </pic:spPr>
                </pic:pic>
              </a:graphicData>
            </a:graphic>
          </wp:anchor>
        </w:drawing>
      </w:r>
    </w:p>
    <w:p>
      <w:pPr>
        <w:sectPr>
          <w:pgSz w:w="11920" w:h="16850" w:orient="portrait"/>
          <w:cols w:equalWidth="0" w:num="1">
            <w:col w:w="10400"/>
          </w:cols>
          <w:pgMar w:left="1000" w:top="376" w:right="511" w:bottom="0" w:gutter="0" w:footer="0" w:header="0"/>
        </w:sectPr>
      </w:pPr>
    </w:p>
    <w:p>
      <w:pPr>
        <w:spacing w:after="0" w:line="2" w:lineRule="exact"/>
        <w:rPr>
          <w:sz w:val="20"/>
          <w:szCs w:val="20"/>
          <w:color w:val="auto"/>
        </w:rPr>
      </w:pPr>
    </w:p>
    <w:p>
      <w:pPr>
        <w:jc w:val="center"/>
        <w:ind w:right="6760"/>
        <w:spacing w:after="0"/>
        <w:rPr>
          <w:sz w:val="20"/>
          <w:szCs w:val="20"/>
          <w:color w:val="auto"/>
        </w:rPr>
      </w:pPr>
      <w:r>
        <w:rPr>
          <w:rFonts w:ascii="Times New Roman" w:cs="Times New Roman" w:eastAsia="Times New Roman" w:hAnsi="Times New Roman"/>
          <w:sz w:val="15"/>
          <w:szCs w:val="15"/>
          <w:b w:val="1"/>
          <w:bCs w:val="1"/>
          <w:color w:val="999999"/>
        </w:rPr>
        <w:t>Титуляр: „БН-КОНСУЛТ-ИНЖЕНИРИНГ” ООД</w:t>
      </w:r>
    </w:p>
    <w:p>
      <w:pPr>
        <w:spacing w:after="0" w:line="12" w:lineRule="exact"/>
        <w:rPr>
          <w:sz w:val="20"/>
          <w:szCs w:val="20"/>
          <w:color w:val="auto"/>
        </w:rPr>
      </w:pPr>
    </w:p>
    <w:p>
      <w:pPr>
        <w:jc w:val="center"/>
        <w:ind w:right="6880"/>
        <w:spacing w:after="0"/>
        <w:rPr>
          <w:sz w:val="20"/>
          <w:szCs w:val="20"/>
          <w:color w:val="auto"/>
        </w:rPr>
      </w:pPr>
      <w:r>
        <w:rPr>
          <w:rFonts w:ascii="Times New Roman" w:cs="Times New Roman" w:eastAsia="Times New Roman" w:hAnsi="Times New Roman"/>
          <w:sz w:val="16"/>
          <w:szCs w:val="16"/>
          <w:b w:val="1"/>
          <w:bCs w:val="1"/>
          <w:color w:val="999999"/>
        </w:rPr>
        <w:t>гр. София</w:t>
      </w:r>
    </w:p>
    <w:p>
      <w:pPr>
        <w:sectPr>
          <w:pgSz w:w="11920" w:h="16850" w:orient="portrait"/>
          <w:cols w:equalWidth="0" w:num="1">
            <w:col w:w="10400"/>
          </w:cols>
          <w:pgMar w:left="1000" w:top="376" w:right="511" w:bottom="0" w:gutter="0" w:footer="0" w:header="0"/>
          <w:type w:val="continuous"/>
        </w:sectPr>
      </w:pPr>
    </w:p>
    <w:p>
      <w:pPr>
        <w:jc w:val="both"/>
        <w:ind w:right="60"/>
        <w:spacing w:after="0" w:line="255" w:lineRule="auto"/>
        <w:rPr>
          <w:sz w:val="20"/>
          <w:szCs w:val="20"/>
          <w:color w:val="auto"/>
        </w:rPr>
      </w:pPr>
      <w:r>
        <w:rPr>
          <w:rFonts w:ascii="Times New Roman" w:cs="Times New Roman" w:eastAsia="Times New Roman" w:hAnsi="Times New Roman"/>
          <w:sz w:val="20"/>
          <w:szCs w:val="20"/>
          <w:b w:val="1"/>
          <w:bCs w:val="1"/>
          <w:color w:val="auto"/>
        </w:rPr>
        <w:t xml:space="preserve">ПРЕДЛОЖЕНИЕ ЗА УПРАВЛЕНИЕ НА МИННИТЕ ОТПАДЪЦИ при осъществяване на инвестиционно предложение: „Добив на подземни богатства – индустриални минерали - глауконитови пясъчници от находище </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b w:val="1"/>
          <w:bCs w:val="1"/>
          <w:color w:val="auto"/>
        </w:rPr>
        <w:t>ГЛОРИЯ</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b w:val="1"/>
          <w:bCs w:val="1"/>
          <w:color w:val="auto"/>
        </w:rPr>
        <w:t>,</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разположено в землищата на с.</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Мало Пещене и с.</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Голямо Пещене,</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община Враца,</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област Враца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-12700</wp:posOffset>
                </wp:positionH>
                <wp:positionV relativeFrom="paragraph">
                  <wp:posOffset>15875</wp:posOffset>
                </wp:positionV>
                <wp:extent cx="6553200" cy="0"/>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53200" cy="4763"/>
                        </a:xfrm>
                        <a:prstGeom prst="line">
                          <a:avLst/>
                        </a:prstGeom>
                        <a:solidFill>
                          <a:srgbClr val="FFFFFF"/>
                        </a:solidFill>
                        <a:ln w="9525">
                          <a:solidFill>
                            <a:srgbClr val="969696"/>
                          </a:solidFill>
                          <a:miter lim="800000"/>
                          <a:headEnd/>
                          <a:tailEnd/>
                        </a:ln>
                      </wps:spPr>
                      <wps:bodyPr/>
                    </wps:wsp>
                  </a:graphicData>
                </a:graphic>
              </wp:anchor>
            </w:drawing>
          </mc:Choice>
          <mc:Fallback>
            <w:pict>
              <v:line id="Shape 38" o:spid="_x0000_s106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pt,1.25pt" to="515pt,1.25pt" o:allowincell="f" strokecolor="#969696" strokeweight="0.75pt"/>
            </w:pict>
          </mc:Fallback>
        </mc:AlternateContent>
      </w:r>
    </w:p>
    <w:p>
      <w:pPr>
        <w:spacing w:after="0" w:line="154" w:lineRule="exact"/>
        <w:rPr>
          <w:sz w:val="20"/>
          <w:szCs w:val="20"/>
          <w:color w:val="auto"/>
        </w:rPr>
      </w:pPr>
    </w:p>
    <w:p>
      <w:pPr>
        <w:ind w:left="560"/>
        <w:spacing w:after="0"/>
        <w:rPr>
          <w:sz w:val="20"/>
          <w:szCs w:val="20"/>
          <w:color w:val="auto"/>
        </w:rPr>
      </w:pPr>
      <w:r>
        <w:rPr>
          <w:rFonts w:ascii="Times New Roman" w:cs="Times New Roman" w:eastAsia="Times New Roman" w:hAnsi="Times New Roman"/>
          <w:sz w:val="24"/>
          <w:szCs w:val="24"/>
          <w:b w:val="1"/>
          <w:bCs w:val="1"/>
          <w:i w:val="1"/>
          <w:iCs w:val="1"/>
          <w:color w:val="auto"/>
        </w:rPr>
        <w:t>3.3.2 Количество на минните отпадъци</w:t>
      </w:r>
    </w:p>
    <w:p>
      <w:pPr>
        <w:spacing w:after="0" w:line="1" w:lineRule="exact"/>
        <w:rPr>
          <w:sz w:val="20"/>
          <w:szCs w:val="20"/>
          <w:color w:val="auto"/>
        </w:rPr>
      </w:pPr>
    </w:p>
    <w:p>
      <w:pPr>
        <w:jc w:val="both"/>
        <w:ind w:right="60" w:firstLine="566"/>
        <w:spacing w:after="0" w:line="189" w:lineRule="auto"/>
        <w:rPr>
          <w:sz w:val="20"/>
          <w:szCs w:val="20"/>
          <w:color w:val="auto"/>
        </w:rPr>
      </w:pPr>
      <w:r>
        <w:rPr>
          <w:rFonts w:ascii="Times New Roman" w:cs="Times New Roman" w:eastAsia="Times New Roman" w:hAnsi="Times New Roman"/>
          <w:sz w:val="24"/>
          <w:szCs w:val="24"/>
          <w:color w:val="auto"/>
        </w:rPr>
        <w:t xml:space="preserve">Общо за 35-годишния концесионен период в рамките на доказаните запаси от находището се очаква да бъде иззети 444026 m </w:t>
      </w:r>
      <w:r>
        <w:rPr>
          <w:rFonts w:ascii="Times New Roman" w:cs="Times New Roman" w:eastAsia="Times New Roman" w:hAnsi="Times New Roman"/>
          <w:sz w:val="32"/>
          <w:szCs w:val="32"/>
          <w:color w:val="auto"/>
          <w:vertAlign w:val="superscript"/>
        </w:rPr>
        <w:t>3</w:t>
      </w:r>
      <w:r>
        <w:rPr>
          <w:rFonts w:ascii="Times New Roman" w:cs="Times New Roman" w:eastAsia="Times New Roman" w:hAnsi="Times New Roman"/>
          <w:sz w:val="24"/>
          <w:szCs w:val="24"/>
          <w:color w:val="auto"/>
        </w:rPr>
        <w:t xml:space="preserve"> откривни материали, от които почвен слой в обем от около 120000 m</w:t>
      </w:r>
      <w:r>
        <w:rPr>
          <w:rFonts w:ascii="Times New Roman" w:cs="Times New Roman" w:eastAsia="Times New Roman" w:hAnsi="Times New Roman"/>
          <w:sz w:val="32"/>
          <w:szCs w:val="32"/>
          <w:color w:val="auto"/>
          <w:vertAlign w:val="superscript"/>
        </w:rPr>
        <w:t>3</w:t>
      </w:r>
      <w:r>
        <w:rPr>
          <w:rFonts w:ascii="Times New Roman" w:cs="Times New Roman" w:eastAsia="Times New Roman" w:hAnsi="Times New Roman"/>
          <w:sz w:val="24"/>
          <w:szCs w:val="24"/>
          <w:color w:val="auto"/>
        </w:rPr>
        <w:t xml:space="preserve"> и песъчливи глини в обем от 324026 m</w:t>
      </w:r>
      <w:r>
        <w:rPr>
          <w:rFonts w:ascii="Times New Roman" w:cs="Times New Roman" w:eastAsia="Times New Roman" w:hAnsi="Times New Roman"/>
          <w:sz w:val="32"/>
          <w:szCs w:val="32"/>
          <w:color w:val="auto"/>
          <w:vertAlign w:val="superscript"/>
        </w:rPr>
        <w:t>3</w:t>
      </w:r>
      <w:r>
        <w:rPr>
          <w:rFonts w:ascii="Times New Roman" w:cs="Times New Roman" w:eastAsia="Times New Roman" w:hAnsi="Times New Roman"/>
          <w:sz w:val="24"/>
          <w:szCs w:val="24"/>
          <w:color w:val="auto"/>
        </w:rPr>
        <w:t>.</w:t>
      </w:r>
    </w:p>
    <w:p>
      <w:pPr>
        <w:ind w:left="560"/>
        <w:spacing w:after="0"/>
        <w:rPr>
          <w:sz w:val="20"/>
          <w:szCs w:val="20"/>
          <w:color w:val="auto"/>
        </w:rPr>
      </w:pPr>
      <w:r>
        <w:rPr>
          <w:rFonts w:ascii="Times New Roman" w:cs="Times New Roman" w:eastAsia="Times New Roman" w:hAnsi="Times New Roman"/>
          <w:sz w:val="24"/>
          <w:szCs w:val="24"/>
          <w:color w:val="auto"/>
        </w:rPr>
        <w:t>Общият обем на откривката за цялото находище (запаси и ресурси) е 2 172 227 m</w:t>
      </w:r>
      <w:r>
        <w:rPr>
          <w:rFonts w:ascii="Times New Roman" w:cs="Times New Roman" w:eastAsia="Times New Roman" w:hAnsi="Times New Roman"/>
          <w:sz w:val="32"/>
          <w:szCs w:val="32"/>
          <w:color w:val="auto"/>
          <w:vertAlign w:val="superscript"/>
        </w:rPr>
        <w:t>3</w:t>
      </w:r>
      <w:r>
        <w:rPr>
          <w:rFonts w:ascii="Times New Roman" w:cs="Times New Roman" w:eastAsia="Times New Roman" w:hAnsi="Times New Roman"/>
          <w:sz w:val="24"/>
          <w:szCs w:val="24"/>
          <w:color w:val="auto"/>
        </w:rPr>
        <w:t>.</w:t>
      </w:r>
    </w:p>
    <w:p>
      <w:pPr>
        <w:spacing w:after="0" w:line="57" w:lineRule="exact"/>
        <w:rPr>
          <w:sz w:val="20"/>
          <w:szCs w:val="20"/>
          <w:color w:val="auto"/>
        </w:rPr>
      </w:pPr>
    </w:p>
    <w:p>
      <w:pPr>
        <w:ind w:left="560"/>
        <w:spacing w:after="0"/>
        <w:rPr>
          <w:sz w:val="20"/>
          <w:szCs w:val="20"/>
          <w:color w:val="auto"/>
        </w:rPr>
      </w:pPr>
      <w:r>
        <w:rPr>
          <w:rFonts w:ascii="Times New Roman" w:cs="Times New Roman" w:eastAsia="Times New Roman" w:hAnsi="Times New Roman"/>
          <w:sz w:val="24"/>
          <w:szCs w:val="24"/>
          <w:b w:val="1"/>
          <w:bCs w:val="1"/>
          <w:i w:val="1"/>
          <w:iCs w:val="1"/>
          <w:color w:val="auto"/>
        </w:rPr>
        <w:t>3.3.3 Система за транспортиране на минните отпадъци</w:t>
      </w:r>
    </w:p>
    <w:p>
      <w:pPr>
        <w:spacing w:after="0" w:line="1" w:lineRule="exact"/>
        <w:rPr>
          <w:sz w:val="20"/>
          <w:szCs w:val="20"/>
          <w:color w:val="auto"/>
        </w:rPr>
      </w:pPr>
    </w:p>
    <w:p>
      <w:pPr>
        <w:jc w:val="both"/>
        <w:ind w:right="60" w:firstLine="566"/>
        <w:spacing w:after="0" w:line="256" w:lineRule="auto"/>
        <w:rPr>
          <w:sz w:val="20"/>
          <w:szCs w:val="20"/>
          <w:color w:val="auto"/>
        </w:rPr>
      </w:pPr>
      <w:r>
        <w:rPr>
          <w:rFonts w:ascii="Times New Roman" w:cs="Times New Roman" w:eastAsia="Times New Roman" w:hAnsi="Times New Roman"/>
          <w:sz w:val="24"/>
          <w:szCs w:val="24"/>
          <w:color w:val="auto"/>
        </w:rPr>
        <w:t>Транспортирането на минните отпадъци ще се осъществява посредством автосамосвали до определените за целта насипища. Натоварването на отбитата скална маса и отпадъка ще се извършва с челни товарачи.</w:t>
      </w:r>
    </w:p>
    <w:p>
      <w:pPr>
        <w:spacing w:after="0" w:line="64" w:lineRule="exact"/>
        <w:rPr>
          <w:sz w:val="20"/>
          <w:szCs w:val="20"/>
          <w:color w:val="auto"/>
        </w:rPr>
      </w:pPr>
    </w:p>
    <w:p>
      <w:pPr>
        <w:ind w:left="560"/>
        <w:spacing w:after="0"/>
        <w:rPr>
          <w:sz w:val="20"/>
          <w:szCs w:val="20"/>
          <w:color w:val="auto"/>
        </w:rPr>
      </w:pPr>
      <w:r>
        <w:rPr>
          <w:rFonts w:ascii="Times New Roman" w:cs="Times New Roman" w:eastAsia="Times New Roman" w:hAnsi="Times New Roman"/>
          <w:sz w:val="24"/>
          <w:szCs w:val="24"/>
          <w:b w:val="1"/>
          <w:bCs w:val="1"/>
          <w:i w:val="1"/>
          <w:iCs w:val="1"/>
          <w:color w:val="auto"/>
        </w:rPr>
        <w:t>3.3.4 Методи за депониране на минните отпадъци</w:t>
      </w:r>
    </w:p>
    <w:p>
      <w:pPr>
        <w:spacing w:after="0" w:line="1" w:lineRule="exact"/>
        <w:rPr>
          <w:sz w:val="20"/>
          <w:szCs w:val="20"/>
          <w:color w:val="auto"/>
        </w:rPr>
      </w:pPr>
    </w:p>
    <w:p>
      <w:pPr>
        <w:jc w:val="both"/>
        <w:ind w:right="60" w:firstLine="566"/>
        <w:spacing w:after="0"/>
        <w:rPr>
          <w:sz w:val="20"/>
          <w:szCs w:val="20"/>
          <w:color w:val="auto"/>
        </w:rPr>
      </w:pPr>
      <w:r>
        <w:rPr>
          <w:rFonts w:ascii="Times New Roman" w:cs="Times New Roman" w:eastAsia="Times New Roman" w:hAnsi="Times New Roman"/>
          <w:sz w:val="24"/>
          <w:szCs w:val="24"/>
          <w:color w:val="auto"/>
        </w:rPr>
        <w:t>Почвените материали ще се депонират на изградено външно насипище с оглед удобното им използване за рекултивация на бордовете на кариерата и терена на последния експлоатационен хоризонт.</w:t>
      </w:r>
    </w:p>
    <w:p>
      <w:pPr>
        <w:jc w:val="both"/>
        <w:ind w:right="60" w:firstLine="566"/>
        <w:spacing w:after="0"/>
        <w:rPr>
          <w:sz w:val="20"/>
          <w:szCs w:val="20"/>
          <w:color w:val="auto"/>
        </w:rPr>
      </w:pPr>
      <w:r>
        <w:rPr>
          <w:rFonts w:ascii="Times New Roman" w:cs="Times New Roman" w:eastAsia="Times New Roman" w:hAnsi="Times New Roman"/>
          <w:sz w:val="24"/>
          <w:szCs w:val="24"/>
          <w:color w:val="auto"/>
        </w:rPr>
        <w:t>Скалната откривка от песъчлива глина в началния етап на експлоатация ще се депонира на външно насипище, но в рамките на концесионната площ, а след освобождаване на достатъчно място вследствие на добива ще се депонира директно във вътрешни насипища в отработеното пространство.</w:t>
      </w:r>
    </w:p>
    <w:p>
      <w:pPr>
        <w:jc w:val="both"/>
        <w:ind w:right="60" w:firstLine="566"/>
        <w:spacing w:after="0"/>
        <w:rPr>
          <w:sz w:val="20"/>
          <w:szCs w:val="20"/>
          <w:color w:val="auto"/>
        </w:rPr>
      </w:pPr>
      <w:r>
        <w:rPr>
          <w:rFonts w:ascii="Times New Roman" w:cs="Times New Roman" w:eastAsia="Times New Roman" w:hAnsi="Times New Roman"/>
          <w:sz w:val="24"/>
          <w:szCs w:val="24"/>
          <w:color w:val="auto"/>
        </w:rPr>
        <w:t>Насипообразуването с булдозери при автмобилен транспорт се състои от разтоварване на откривката от автосамосвалите, подравняване на насипа и строителство на автопътища. Височината на булдозерните насипища ще бъде до 15 m.</w:t>
      </w:r>
    </w:p>
    <w:p>
      <w:pPr>
        <w:jc w:val="both"/>
        <w:ind w:right="60" w:firstLine="566"/>
        <w:spacing w:after="0" w:line="256" w:lineRule="auto"/>
        <w:rPr>
          <w:sz w:val="20"/>
          <w:szCs w:val="20"/>
          <w:color w:val="auto"/>
        </w:rPr>
      </w:pPr>
      <w:r>
        <w:rPr>
          <w:rFonts w:ascii="Times New Roman" w:cs="Times New Roman" w:eastAsia="Times New Roman" w:hAnsi="Times New Roman"/>
          <w:sz w:val="24"/>
          <w:szCs w:val="24"/>
          <w:color w:val="auto"/>
        </w:rPr>
        <w:t>Автосамосвалите се разтоварват на разстояние 1,5-3 m от ръба на насипището. Булдозерите избутват откривката по откоса на насипището, като част от нея се оставя за предпаен вал за самосвалите.</w:t>
      </w:r>
    </w:p>
    <w:p>
      <w:pPr>
        <w:spacing w:after="0" w:line="64" w:lineRule="exact"/>
        <w:rPr>
          <w:sz w:val="20"/>
          <w:szCs w:val="20"/>
          <w:color w:val="auto"/>
        </w:rPr>
      </w:pPr>
    </w:p>
    <w:p>
      <w:pPr>
        <w:ind w:left="560" w:right="1280"/>
        <w:spacing w:after="0" w:line="273" w:lineRule="auto"/>
        <w:rPr>
          <w:sz w:val="20"/>
          <w:szCs w:val="20"/>
          <w:color w:val="auto"/>
        </w:rPr>
      </w:pPr>
      <w:r>
        <w:rPr>
          <w:rFonts w:ascii="Times New Roman" w:cs="Times New Roman" w:eastAsia="Times New Roman" w:hAnsi="Times New Roman"/>
          <w:sz w:val="24"/>
          <w:szCs w:val="24"/>
          <w:b w:val="1"/>
          <w:bCs w:val="1"/>
          <w:i w:val="1"/>
          <w:iCs w:val="1"/>
          <w:color w:val="auto"/>
        </w:rPr>
        <w:t xml:space="preserve">3.3.5 Описание на химичните вещества и смеси, използвани при преработката </w:t>
      </w:r>
      <w:r>
        <w:rPr>
          <w:rFonts w:ascii="Times New Roman" w:cs="Times New Roman" w:eastAsia="Times New Roman" w:hAnsi="Times New Roman"/>
          <w:sz w:val="24"/>
          <w:szCs w:val="24"/>
          <w:color w:val="auto"/>
        </w:rPr>
        <w:t>При преработката не се използват химични вещества и смеси.</w:t>
      </w:r>
    </w:p>
    <w:p>
      <w:pPr>
        <w:spacing w:after="0" w:line="44" w:lineRule="exact"/>
        <w:rPr>
          <w:sz w:val="20"/>
          <w:szCs w:val="20"/>
          <w:color w:val="auto"/>
        </w:rPr>
      </w:pPr>
    </w:p>
    <w:p>
      <w:pPr>
        <w:ind w:left="560"/>
        <w:spacing w:after="0"/>
        <w:rPr>
          <w:sz w:val="20"/>
          <w:szCs w:val="20"/>
          <w:color w:val="auto"/>
        </w:rPr>
      </w:pPr>
      <w:r>
        <w:rPr>
          <w:rFonts w:ascii="Times New Roman" w:cs="Times New Roman" w:eastAsia="Times New Roman" w:hAnsi="Times New Roman"/>
          <w:sz w:val="24"/>
          <w:szCs w:val="24"/>
          <w:b w:val="1"/>
          <w:bCs w:val="1"/>
          <w:i w:val="1"/>
          <w:iCs w:val="1"/>
          <w:color w:val="auto"/>
        </w:rPr>
        <w:t>3.3.6 Код и наименование на минните отпадъци</w:t>
      </w:r>
    </w:p>
    <w:p>
      <w:pPr>
        <w:spacing w:after="0" w:line="1" w:lineRule="exact"/>
        <w:rPr>
          <w:sz w:val="20"/>
          <w:szCs w:val="20"/>
          <w:color w:val="auto"/>
        </w:rPr>
      </w:pPr>
    </w:p>
    <w:p>
      <w:pPr>
        <w:jc w:val="both"/>
        <w:ind w:right="60" w:firstLine="566"/>
        <w:spacing w:after="0"/>
        <w:rPr>
          <w:sz w:val="20"/>
          <w:szCs w:val="20"/>
          <w:color w:val="auto"/>
        </w:rPr>
      </w:pPr>
      <w:r>
        <w:rPr>
          <w:rFonts w:ascii="Times New Roman" w:cs="Times New Roman" w:eastAsia="Times New Roman" w:hAnsi="Times New Roman"/>
          <w:sz w:val="24"/>
          <w:szCs w:val="24"/>
          <w:color w:val="auto"/>
        </w:rPr>
        <w:t xml:space="preserve">Генерирането на минни отпадъци ще започне с началото на разкривните дейности. Съгласно Решение 2000/532/ЕО на Комисията за замяна на Решение 94/3/ЕО за установяване на списък на отпадъците в съответствие с член 1, буква а) от Директива 75/442/ЕИО на Съвета относно отпадъците и Решение 94/904/ЕО на Съвета за установяване на списък на опасните отпадъци в съответствие с член 1, параграф 4 от Директива 91/689/ЕИО на Съвета относно опасните отпадъци (ОВ L 226, 6.9.2000 г., стр. 3) и посл.изм. хумусно -почвените материали, изветрелите и нестандартни скални маси от откривката и скалните маси от технологични загуби при добива се класифицират в подгрупа „01 01 отпадъци от екскавация на минерали” с код и наименование “01 01 02 отпадъци от екскавация на неметални полезни изкопаеми”. Съгласно Наредба № 2/2014г. за класификация на отпадъците това е отпадък с код </w:t>
      </w:r>
      <w:r>
        <w:rPr>
          <w:rFonts w:ascii="Times New Roman" w:cs="Times New Roman" w:eastAsia="Times New Roman" w:hAnsi="Times New Roman"/>
          <w:sz w:val="24"/>
          <w:szCs w:val="24"/>
          <w:b w:val="1"/>
          <w:bCs w:val="1"/>
          <w:color w:val="auto"/>
        </w:rPr>
        <w:t>01 01 02-</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b w:val="1"/>
          <w:bCs w:val="1"/>
          <w:color w:val="auto"/>
        </w:rPr>
        <w:t>отпадъци от разкриване и добив на</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b w:val="1"/>
          <w:bCs w:val="1"/>
          <w:color w:val="auto"/>
        </w:rPr>
        <w:t>неметални полезни изкопаеми</w:t>
      </w:r>
      <w:r>
        <w:rPr>
          <w:rFonts w:ascii="Times New Roman" w:cs="Times New Roman" w:eastAsia="Times New Roman" w:hAnsi="Times New Roman"/>
          <w:sz w:val="24"/>
          <w:szCs w:val="24"/>
          <w:color w:val="auto"/>
        </w:rPr>
        <w:t>.</w:t>
      </w:r>
    </w:p>
    <w:p>
      <w:pPr>
        <w:jc w:val="both"/>
        <w:ind w:right="60" w:firstLine="566"/>
        <w:spacing w:after="0"/>
        <w:rPr>
          <w:sz w:val="20"/>
          <w:szCs w:val="20"/>
          <w:color w:val="auto"/>
        </w:rPr>
      </w:pPr>
      <w:r>
        <w:rPr>
          <w:rFonts w:ascii="Times New Roman" w:cs="Times New Roman" w:eastAsia="Times New Roman" w:hAnsi="Times New Roman"/>
          <w:sz w:val="24"/>
          <w:szCs w:val="24"/>
          <w:color w:val="auto"/>
        </w:rPr>
        <w:t>Очакваните отпадъци, които ще се генерират по време на реализацията на концесията, се класифицират със следните кодове и наименования съгласно Решение 2000/532/ЕО на Комисията за замяна на Решение 94/3/ЕО за установяване на списък на отпадъците в съответствие с член 1, буква а) от Директива 75/442/ЕИО на Съвета относно отпадъците и Решение 94/904/ЕО на Съвета за установяване на списък на опасните отпадъци в съответствие с член 1, параграф 4 от Директива 91/689/ЕИО на Съвета относно опасните отпадъци (ОВ L 226, 6.9.2000 г., стр. 3):</w:t>
      </w:r>
    </w:p>
    <w:p>
      <w:pPr>
        <w:jc w:val="both"/>
        <w:ind w:right="60" w:firstLine="566"/>
        <w:spacing w:after="0" w:line="250" w:lineRule="auto"/>
        <w:rPr>
          <w:sz w:val="20"/>
          <w:szCs w:val="20"/>
          <w:color w:val="auto"/>
        </w:rPr>
      </w:pPr>
      <w:r>
        <w:rPr>
          <w:rFonts w:ascii="Times New Roman" w:cs="Times New Roman" w:eastAsia="Times New Roman" w:hAnsi="Times New Roman"/>
          <w:sz w:val="24"/>
          <w:szCs w:val="24"/>
          <w:color w:val="auto"/>
        </w:rPr>
        <w:t>Хумусно-почвените материали, изветрелите и нестандартни скални маси от откривката и скалните маси от технологични загуби при добива се класифицират в подгрупа „01 01 отпадъци от екскавация на минерали” с код и наименование “</w:t>
      </w:r>
      <w:r>
        <w:rPr>
          <w:rFonts w:ascii="Times New Roman" w:cs="Times New Roman" w:eastAsia="Times New Roman" w:hAnsi="Times New Roman"/>
          <w:sz w:val="24"/>
          <w:szCs w:val="24"/>
          <w:b w:val="1"/>
          <w:bCs w:val="1"/>
          <w:color w:val="auto"/>
        </w:rPr>
        <w:t>01 01 02</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b w:val="1"/>
          <w:bCs w:val="1"/>
          <w:color w:val="auto"/>
        </w:rPr>
        <w:t>отпадъци от екскавация на неметални</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b w:val="1"/>
          <w:bCs w:val="1"/>
          <w:color w:val="auto"/>
        </w:rPr>
        <w:t>полезни изкопаеми</w:t>
      </w:r>
      <w:r>
        <w:rPr>
          <w:rFonts w:ascii="Times New Roman" w:cs="Times New Roman" w:eastAsia="Times New Roman" w:hAnsi="Times New Roman"/>
          <w:sz w:val="24"/>
          <w:szCs w:val="24"/>
          <w:color w:val="auto"/>
        </w:rPr>
        <w:t>” .</w:t>
      </w:r>
    </w:p>
    <w:p>
      <w:pPr>
        <w:spacing w:after="0" w:line="73" w:lineRule="exact"/>
        <w:rPr>
          <w:sz w:val="20"/>
          <w:szCs w:val="20"/>
          <w:color w:val="auto"/>
        </w:rPr>
      </w:pPr>
    </w:p>
    <w:p>
      <w:pPr>
        <w:ind w:left="560" w:right="1900"/>
        <w:spacing w:after="0"/>
        <w:rPr>
          <w:sz w:val="20"/>
          <w:szCs w:val="20"/>
          <w:color w:val="auto"/>
        </w:rPr>
      </w:pPr>
      <w:r>
        <w:rPr>
          <w:rFonts w:ascii="Times New Roman" w:cs="Times New Roman" w:eastAsia="Times New Roman" w:hAnsi="Times New Roman"/>
          <w:sz w:val="24"/>
          <w:szCs w:val="24"/>
          <w:b w:val="1"/>
          <w:bCs w:val="1"/>
          <w:i w:val="1"/>
          <w:iCs w:val="1"/>
          <w:color w:val="auto"/>
        </w:rPr>
        <w:t xml:space="preserve">3.3.7 Тип на съоръжението, в което ще се депонират минните отпадъци </w:t>
      </w:r>
      <w:r>
        <w:rPr>
          <w:rFonts w:ascii="Times New Roman" w:cs="Times New Roman" w:eastAsia="Times New Roman" w:hAnsi="Times New Roman"/>
          <w:sz w:val="24"/>
          <w:szCs w:val="24"/>
          <w:color w:val="auto"/>
        </w:rPr>
        <w:t>Съгласно чл. 16, ал.3 от Наредбата съоръжения за минни отпадъци са:</w:t>
      </w:r>
    </w:p>
    <w:p>
      <w:pPr>
        <w:spacing w:after="0" w:line="1" w:lineRule="exact"/>
        <w:rPr>
          <w:sz w:val="20"/>
          <w:szCs w:val="20"/>
          <w:color w:val="auto"/>
        </w:rPr>
      </w:pPr>
    </w:p>
    <w:p>
      <w:pPr>
        <w:ind w:left="560"/>
        <w:spacing w:after="0"/>
        <w:rPr>
          <w:sz w:val="20"/>
          <w:szCs w:val="20"/>
          <w:color w:val="auto"/>
        </w:rPr>
      </w:pPr>
      <w:r>
        <w:rPr>
          <w:rFonts w:ascii="Times New Roman" w:cs="Times New Roman" w:eastAsia="Times New Roman" w:hAnsi="Times New Roman"/>
          <w:sz w:val="24"/>
          <w:szCs w:val="24"/>
          <w:color w:val="auto"/>
        </w:rPr>
        <w:t>1. насипища (табани);</w:t>
      </w:r>
    </w:p>
    <w:p>
      <w:pPr>
        <w:spacing w:after="0" w:line="149"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0"/>
          <w:szCs w:val="20"/>
          <w:color w:val="auto"/>
        </w:rPr>
        <w:t>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-15240</wp:posOffset>
            </wp:positionH>
            <wp:positionV relativeFrom="paragraph">
              <wp:posOffset>-60325</wp:posOffset>
            </wp:positionV>
            <wp:extent cx="6438900" cy="2857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a:extLst>
                        <a:ext uri="{28A0092B-C50C-407E-A947-70E740481C1C}"/>
                      </a:extLst>
                    </a:blip>
                    <a:srcRect/>
                    <a:stretch>
                      <a:fillRect/>
                    </a:stretch>
                  </pic:blipFill>
                  <pic:spPr bwMode="auto">
                    <a:xfrm>
                      <a:off x="0" y="0"/>
                      <a:ext cx="6438900" cy="28575"/>
                    </a:xfrm>
                    <a:prstGeom prst="rect">
                      <a:avLst/>
                    </a:prstGeom>
                    <a:noFill/>
                  </pic:spPr>
                </pic:pic>
              </a:graphicData>
            </a:graphic>
          </wp:anchor>
        </w:drawing>
      </w:r>
    </w:p>
    <w:p>
      <w:pPr>
        <w:sectPr>
          <w:pgSz w:w="11920" w:h="16850" w:orient="portrait"/>
          <w:cols w:equalWidth="0" w:num="1">
            <w:col w:w="10400"/>
          </w:cols>
          <w:pgMar w:left="1000" w:top="376" w:right="511" w:bottom="0" w:gutter="0" w:footer="0" w:header="0"/>
        </w:sectPr>
      </w:pPr>
    </w:p>
    <w:p>
      <w:pPr>
        <w:spacing w:after="0" w:line="2" w:lineRule="exact"/>
        <w:rPr>
          <w:sz w:val="20"/>
          <w:szCs w:val="20"/>
          <w:color w:val="auto"/>
        </w:rPr>
      </w:pPr>
    </w:p>
    <w:p>
      <w:pPr>
        <w:jc w:val="center"/>
        <w:ind w:right="6760"/>
        <w:spacing w:after="0"/>
        <w:rPr>
          <w:sz w:val="20"/>
          <w:szCs w:val="20"/>
          <w:color w:val="auto"/>
        </w:rPr>
      </w:pPr>
      <w:r>
        <w:rPr>
          <w:rFonts w:ascii="Times New Roman" w:cs="Times New Roman" w:eastAsia="Times New Roman" w:hAnsi="Times New Roman"/>
          <w:sz w:val="15"/>
          <w:szCs w:val="15"/>
          <w:b w:val="1"/>
          <w:bCs w:val="1"/>
          <w:color w:val="999999"/>
        </w:rPr>
        <w:t>Титуляр: „БН-КОНСУЛТ-ИНЖЕНИРИНГ” ООД</w:t>
      </w:r>
    </w:p>
    <w:p>
      <w:pPr>
        <w:spacing w:after="0" w:line="12" w:lineRule="exact"/>
        <w:rPr>
          <w:sz w:val="20"/>
          <w:szCs w:val="20"/>
          <w:color w:val="auto"/>
        </w:rPr>
      </w:pPr>
    </w:p>
    <w:p>
      <w:pPr>
        <w:jc w:val="center"/>
        <w:ind w:right="6880"/>
        <w:spacing w:after="0"/>
        <w:rPr>
          <w:sz w:val="20"/>
          <w:szCs w:val="20"/>
          <w:color w:val="auto"/>
        </w:rPr>
      </w:pPr>
      <w:r>
        <w:rPr>
          <w:rFonts w:ascii="Times New Roman" w:cs="Times New Roman" w:eastAsia="Times New Roman" w:hAnsi="Times New Roman"/>
          <w:sz w:val="16"/>
          <w:szCs w:val="16"/>
          <w:b w:val="1"/>
          <w:bCs w:val="1"/>
          <w:color w:val="999999"/>
        </w:rPr>
        <w:t>гр. София</w:t>
      </w:r>
    </w:p>
    <w:p>
      <w:pPr>
        <w:sectPr>
          <w:pgSz w:w="11920" w:h="16850" w:orient="portrait"/>
          <w:cols w:equalWidth="0" w:num="1">
            <w:col w:w="10400"/>
          </w:cols>
          <w:pgMar w:left="1000" w:top="376" w:right="511" w:bottom="0" w:gutter="0" w:footer="0" w:header="0"/>
          <w:type w:val="continuous"/>
        </w:sectPr>
      </w:pPr>
    </w:p>
    <w:p>
      <w:pPr>
        <w:jc w:val="both"/>
        <w:ind w:right="60"/>
        <w:spacing w:after="0" w:line="255" w:lineRule="auto"/>
        <w:rPr>
          <w:sz w:val="20"/>
          <w:szCs w:val="20"/>
          <w:color w:val="auto"/>
        </w:rPr>
      </w:pPr>
      <w:r>
        <w:rPr>
          <w:rFonts w:ascii="Times New Roman" w:cs="Times New Roman" w:eastAsia="Times New Roman" w:hAnsi="Times New Roman"/>
          <w:sz w:val="20"/>
          <w:szCs w:val="20"/>
          <w:b w:val="1"/>
          <w:bCs w:val="1"/>
          <w:color w:val="auto"/>
        </w:rPr>
        <w:t xml:space="preserve">ПРЕДЛОЖЕНИЕ ЗА УПРАВЛЕНИЕ НА МИННИТЕ ОТПАДЪЦИ при осъществяване на инвестиционно предложение: „Добив на подземни богатства – индустриални минерали - глауконитови пясъчници от находище </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b w:val="1"/>
          <w:bCs w:val="1"/>
          <w:color w:val="auto"/>
        </w:rPr>
        <w:t>ГЛОРИЯ</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b w:val="1"/>
          <w:bCs w:val="1"/>
          <w:color w:val="auto"/>
        </w:rPr>
        <w:t>,</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разположено в землищата на с.</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Мало Пещене и с.</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Голямо Пещене,</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община Враца,</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област Враца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-12700</wp:posOffset>
                </wp:positionH>
                <wp:positionV relativeFrom="paragraph">
                  <wp:posOffset>15875</wp:posOffset>
                </wp:positionV>
                <wp:extent cx="6553200" cy="0"/>
                <wp:wrapNone/>
                <wp:docPr id="40" name="Shape 4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53200" cy="4763"/>
                        </a:xfrm>
                        <a:prstGeom prst="line">
                          <a:avLst/>
                        </a:prstGeom>
                        <a:solidFill>
                          <a:srgbClr val="FFFFFF"/>
                        </a:solidFill>
                        <a:ln w="9525">
                          <a:solidFill>
                            <a:srgbClr val="969696"/>
                          </a:solidFill>
                          <a:miter lim="800000"/>
                          <a:headEnd/>
                          <a:tailEnd/>
                        </a:ln>
                      </wps:spPr>
                      <wps:bodyPr/>
                    </wps:wsp>
                  </a:graphicData>
                </a:graphic>
              </wp:anchor>
            </w:drawing>
          </mc:Choice>
          <mc:Fallback>
            <w:pict>
              <v:line id="Shape 40" o:spid="_x0000_s106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pt,1.25pt" to="515pt,1.25pt" o:allowincell="f" strokecolor="#969696" strokeweight="0.75pt"/>
            </w:pict>
          </mc:Fallback>
        </mc:AlternateContent>
      </w:r>
    </w:p>
    <w:p>
      <w:pPr>
        <w:spacing w:after="0" w:line="155" w:lineRule="exact"/>
        <w:rPr>
          <w:sz w:val="20"/>
          <w:szCs w:val="20"/>
          <w:color w:val="auto"/>
        </w:rPr>
      </w:pPr>
    </w:p>
    <w:p>
      <w:pPr>
        <w:ind w:left="800" w:hanging="242"/>
        <w:spacing w:after="0"/>
        <w:tabs>
          <w:tab w:leader="none" w:pos="800" w:val="left"/>
        </w:tabs>
        <w:numPr>
          <w:ilvl w:val="0"/>
          <w:numId w:val="18"/>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хвостохранилища и шламохранилища;</w:t>
      </w:r>
    </w:p>
    <w:p>
      <w:pPr>
        <w:ind w:left="800" w:hanging="242"/>
        <w:spacing w:after="0"/>
        <w:tabs>
          <w:tab w:leader="none" w:pos="800" w:val="left"/>
        </w:tabs>
        <w:numPr>
          <w:ilvl w:val="0"/>
          <w:numId w:val="18"/>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други.</w:t>
      </w:r>
    </w:p>
    <w:p>
      <w:pPr>
        <w:jc w:val="both"/>
        <w:ind w:right="60" w:firstLine="566"/>
        <w:spacing w:after="0" w:line="272" w:lineRule="auto"/>
        <w:rPr>
          <w:sz w:val="20"/>
          <w:szCs w:val="20"/>
          <w:color w:val="auto"/>
        </w:rPr>
      </w:pPr>
      <w:r>
        <w:rPr>
          <w:rFonts w:ascii="Times New Roman" w:cs="Times New Roman" w:eastAsia="Times New Roman" w:hAnsi="Times New Roman"/>
          <w:sz w:val="24"/>
          <w:szCs w:val="24"/>
          <w:color w:val="auto"/>
        </w:rPr>
        <w:t xml:space="preserve">Съгласно горните критерии съоръженията за минни отпадъци от находище „Глория” се определят като </w:t>
      </w:r>
      <w:r>
        <w:rPr>
          <w:rFonts w:ascii="Times New Roman" w:cs="Times New Roman" w:eastAsia="Times New Roman" w:hAnsi="Times New Roman"/>
          <w:sz w:val="24"/>
          <w:szCs w:val="24"/>
          <w:b w:val="1"/>
          <w:bCs w:val="1"/>
          <w:color w:val="auto"/>
        </w:rPr>
        <w:t>насипища</w:t>
      </w:r>
      <w:r>
        <w:rPr>
          <w:rFonts w:ascii="Times New Roman" w:cs="Times New Roman" w:eastAsia="Times New Roman" w:hAnsi="Times New Roman"/>
          <w:sz w:val="24"/>
          <w:szCs w:val="24"/>
          <w:color w:val="auto"/>
        </w:rPr>
        <w:t>.</w:t>
      </w:r>
    </w:p>
    <w:p>
      <w:pPr>
        <w:spacing w:after="0" w:line="45" w:lineRule="exact"/>
        <w:rPr>
          <w:sz w:val="20"/>
          <w:szCs w:val="20"/>
          <w:color w:val="auto"/>
        </w:rPr>
      </w:pPr>
    </w:p>
    <w:p>
      <w:pPr>
        <w:ind w:left="560"/>
        <w:spacing w:after="0"/>
        <w:rPr>
          <w:sz w:val="20"/>
          <w:szCs w:val="20"/>
          <w:color w:val="auto"/>
        </w:rPr>
      </w:pPr>
      <w:r>
        <w:rPr>
          <w:rFonts w:ascii="Times New Roman" w:cs="Times New Roman" w:eastAsia="Times New Roman" w:hAnsi="Times New Roman"/>
          <w:sz w:val="24"/>
          <w:szCs w:val="24"/>
          <w:b w:val="1"/>
          <w:bCs w:val="1"/>
          <w:i w:val="1"/>
          <w:iCs w:val="1"/>
          <w:color w:val="auto"/>
        </w:rPr>
        <w:t>3.4 Геотехническо поведение на минните отпадъци</w:t>
      </w:r>
    </w:p>
    <w:p>
      <w:pPr>
        <w:spacing w:after="0" w:line="1" w:lineRule="exact"/>
        <w:rPr>
          <w:sz w:val="20"/>
          <w:szCs w:val="20"/>
          <w:color w:val="auto"/>
        </w:rPr>
      </w:pPr>
    </w:p>
    <w:p>
      <w:pPr>
        <w:jc w:val="both"/>
        <w:ind w:right="60" w:firstLine="566"/>
        <w:spacing w:after="0"/>
        <w:rPr>
          <w:sz w:val="20"/>
          <w:szCs w:val="20"/>
          <w:color w:val="auto"/>
        </w:rPr>
      </w:pPr>
      <w:r>
        <w:rPr>
          <w:rFonts w:ascii="Times New Roman" w:cs="Times New Roman" w:eastAsia="Times New Roman" w:hAnsi="Times New Roman"/>
          <w:sz w:val="24"/>
          <w:szCs w:val="24"/>
          <w:color w:val="auto"/>
        </w:rPr>
        <w:t>Минните отпадъци, които ще се депонират на депата за почви и скална откривка, ще съдържат почвени материали и изветрял повърхностен слой пясъчник с много малко съдържание на глауконит. При насипообразуването ще се създава една взаимна уплътняемост до достигане на устойчив ъгъл на откоса от 45°, който ще се формира при насипването.</w:t>
      </w:r>
    </w:p>
    <w:p>
      <w:pPr>
        <w:jc w:val="both"/>
        <w:ind w:right="60" w:firstLine="566"/>
        <w:spacing w:after="0" w:line="256" w:lineRule="auto"/>
        <w:rPr>
          <w:sz w:val="20"/>
          <w:szCs w:val="20"/>
          <w:color w:val="auto"/>
        </w:rPr>
      </w:pPr>
      <w:r>
        <w:rPr>
          <w:rFonts w:ascii="Times New Roman" w:cs="Times New Roman" w:eastAsia="Times New Roman" w:hAnsi="Times New Roman"/>
          <w:sz w:val="24"/>
          <w:szCs w:val="24"/>
          <w:color w:val="auto"/>
        </w:rPr>
        <w:t>Не се очакват промени при съхранението, тъй като отложените материали са „незамърсени почви“ и „инертни отпадъци“. Очаква се дълговременна устойчивост на насипищата, поради това, че влиянието на въздействието на външни фактори върху стабилността му е ограничено.</w:t>
      </w:r>
    </w:p>
    <w:p>
      <w:pPr>
        <w:spacing w:after="0" w:line="64" w:lineRule="exact"/>
        <w:rPr>
          <w:sz w:val="20"/>
          <w:szCs w:val="20"/>
          <w:color w:val="auto"/>
        </w:rPr>
      </w:pPr>
    </w:p>
    <w:p>
      <w:pPr>
        <w:ind w:left="560"/>
        <w:spacing w:after="0"/>
        <w:rPr>
          <w:sz w:val="20"/>
          <w:szCs w:val="20"/>
          <w:color w:val="auto"/>
        </w:rPr>
      </w:pPr>
      <w:r>
        <w:rPr>
          <w:rFonts w:ascii="Times New Roman" w:cs="Times New Roman" w:eastAsia="Times New Roman" w:hAnsi="Times New Roman"/>
          <w:sz w:val="24"/>
          <w:szCs w:val="24"/>
          <w:b w:val="1"/>
          <w:bCs w:val="1"/>
          <w:i w:val="1"/>
          <w:iCs w:val="1"/>
          <w:color w:val="auto"/>
        </w:rPr>
        <w:t>3.5 Геохимични характеристики и поведение на минните отпадъци</w:t>
      </w:r>
    </w:p>
    <w:p>
      <w:pPr>
        <w:spacing w:after="0" w:line="1" w:lineRule="exact"/>
        <w:rPr>
          <w:sz w:val="20"/>
          <w:szCs w:val="20"/>
          <w:color w:val="auto"/>
        </w:rPr>
      </w:pPr>
    </w:p>
    <w:p>
      <w:pPr>
        <w:jc w:val="both"/>
        <w:ind w:right="60" w:firstLine="566"/>
        <w:spacing w:after="0" w:line="245" w:lineRule="auto"/>
        <w:rPr>
          <w:sz w:val="20"/>
          <w:szCs w:val="20"/>
          <w:color w:val="auto"/>
        </w:rPr>
      </w:pPr>
      <w:r>
        <w:rPr>
          <w:rFonts w:ascii="Times New Roman" w:cs="Times New Roman" w:eastAsia="Times New Roman" w:hAnsi="Times New Roman"/>
          <w:sz w:val="24"/>
          <w:szCs w:val="24"/>
          <w:color w:val="auto"/>
        </w:rPr>
        <w:t>Имайки предвид химичния състав, минните отпадъци в находище „Глория“ се класифицират като „</w:t>
      </w:r>
      <w:r>
        <w:rPr>
          <w:rFonts w:ascii="Times New Roman" w:cs="Times New Roman" w:eastAsia="Times New Roman" w:hAnsi="Times New Roman"/>
          <w:sz w:val="24"/>
          <w:szCs w:val="24"/>
          <w:b w:val="1"/>
          <w:bCs w:val="1"/>
          <w:color w:val="auto"/>
        </w:rPr>
        <w:t>инертни отпадъци</w:t>
      </w:r>
      <w:r>
        <w:rPr>
          <w:rFonts w:ascii="Times New Roman" w:cs="Times New Roman" w:eastAsia="Times New Roman" w:hAnsi="Times New Roman"/>
          <w:sz w:val="24"/>
          <w:szCs w:val="24"/>
          <w:color w:val="auto"/>
        </w:rPr>
        <w:t>“ и отговарят на посочените критерии заложени при класифицирането в съответствие с разпоредбите на чл. 22 б, ал. 1 от ЗПБ, а именно:</w:t>
      </w:r>
    </w:p>
    <w:p>
      <w:pPr>
        <w:spacing w:after="0" w:line="2" w:lineRule="exact"/>
        <w:rPr>
          <w:sz w:val="20"/>
          <w:szCs w:val="20"/>
          <w:color w:val="auto"/>
        </w:rPr>
      </w:pPr>
    </w:p>
    <w:p>
      <w:pPr>
        <w:jc w:val="both"/>
        <w:ind w:left="1280" w:right="60" w:hanging="362"/>
        <w:spacing w:after="0" w:line="239" w:lineRule="auto"/>
        <w:tabs>
          <w:tab w:leader="none" w:pos="1280" w:val="left"/>
        </w:tabs>
        <w:numPr>
          <w:ilvl w:val="1"/>
          <w:numId w:val="19"/>
        </w:numPr>
        <w:rPr>
          <w:rFonts w:ascii="Symbol" w:cs="Symbol" w:eastAsia="Symbol" w:hAnsi="Symbol"/>
          <w:sz w:val="24"/>
          <w:szCs w:val="24"/>
          <w:color w:val="auto"/>
        </w:rPr>
      </w:pPr>
      <w:r>
        <w:rPr>
          <w:rFonts w:ascii="Times New Roman" w:cs="Times New Roman" w:eastAsia="Times New Roman" w:hAnsi="Times New Roman"/>
          <w:sz w:val="24"/>
          <w:szCs w:val="24"/>
          <w:color w:val="auto"/>
        </w:rPr>
        <w:t>не се разпадат, не се разтварят и не претърпяват съществени физически, химически или биологически промени, които могат да повлияят неблагоприятно върху компонентите на околната среда, безопасността и здравето на населението;</w:t>
      </w:r>
    </w:p>
    <w:p>
      <w:pPr>
        <w:spacing w:after="0" w:line="2" w:lineRule="exact"/>
        <w:rPr>
          <w:rFonts w:ascii="Symbol" w:cs="Symbol" w:eastAsia="Symbol" w:hAnsi="Symbol"/>
          <w:sz w:val="24"/>
          <w:szCs w:val="24"/>
          <w:color w:val="auto"/>
        </w:rPr>
      </w:pPr>
    </w:p>
    <w:p>
      <w:pPr>
        <w:ind w:left="1280" w:hanging="362"/>
        <w:spacing w:after="0" w:line="239" w:lineRule="auto"/>
        <w:tabs>
          <w:tab w:leader="none" w:pos="1280" w:val="left"/>
        </w:tabs>
        <w:numPr>
          <w:ilvl w:val="1"/>
          <w:numId w:val="19"/>
        </w:numPr>
        <w:rPr>
          <w:rFonts w:ascii="Symbol" w:cs="Symbol" w:eastAsia="Symbol" w:hAnsi="Symbol"/>
          <w:sz w:val="24"/>
          <w:szCs w:val="24"/>
          <w:color w:val="auto"/>
        </w:rPr>
      </w:pPr>
      <w:r>
        <w:rPr>
          <w:rFonts w:ascii="Times New Roman" w:cs="Times New Roman" w:eastAsia="Times New Roman" w:hAnsi="Times New Roman"/>
          <w:sz w:val="24"/>
          <w:szCs w:val="24"/>
          <w:color w:val="auto"/>
        </w:rPr>
        <w:t>съдържат сулфидна сяра в количества не по-големи от 1,0 на сто;</w:t>
      </w:r>
    </w:p>
    <w:p>
      <w:pPr>
        <w:ind w:left="1280" w:hanging="362"/>
        <w:spacing w:after="0"/>
        <w:tabs>
          <w:tab w:leader="none" w:pos="1280" w:val="left"/>
        </w:tabs>
        <w:numPr>
          <w:ilvl w:val="1"/>
          <w:numId w:val="19"/>
        </w:numPr>
        <w:rPr>
          <w:rFonts w:ascii="Symbol" w:cs="Symbol" w:eastAsia="Symbol" w:hAnsi="Symbol"/>
          <w:sz w:val="24"/>
          <w:szCs w:val="24"/>
          <w:color w:val="auto"/>
        </w:rPr>
      </w:pPr>
      <w:r>
        <w:rPr>
          <w:rFonts w:ascii="Times New Roman" w:cs="Times New Roman" w:eastAsia="Times New Roman" w:hAnsi="Times New Roman"/>
          <w:sz w:val="24"/>
          <w:szCs w:val="24"/>
          <w:color w:val="auto"/>
        </w:rPr>
        <w:t>не се самозапалват и не горят;</w:t>
      </w:r>
    </w:p>
    <w:p>
      <w:pPr>
        <w:spacing w:after="0" w:line="1" w:lineRule="exact"/>
        <w:rPr>
          <w:rFonts w:ascii="Symbol" w:cs="Symbol" w:eastAsia="Symbol" w:hAnsi="Symbol"/>
          <w:sz w:val="24"/>
          <w:szCs w:val="24"/>
          <w:color w:val="auto"/>
        </w:rPr>
      </w:pPr>
    </w:p>
    <w:p>
      <w:pPr>
        <w:ind w:left="1280" w:hanging="362"/>
        <w:spacing w:after="0" w:line="239" w:lineRule="auto"/>
        <w:tabs>
          <w:tab w:leader="none" w:pos="1280" w:val="left"/>
        </w:tabs>
        <w:numPr>
          <w:ilvl w:val="1"/>
          <w:numId w:val="19"/>
        </w:numPr>
        <w:rPr>
          <w:rFonts w:ascii="Symbol" w:cs="Symbol" w:eastAsia="Symbol" w:hAnsi="Symbol"/>
          <w:sz w:val="24"/>
          <w:szCs w:val="24"/>
          <w:color w:val="auto"/>
        </w:rPr>
      </w:pPr>
      <w:r>
        <w:rPr>
          <w:rFonts w:ascii="Times New Roman" w:cs="Times New Roman" w:eastAsia="Times New Roman" w:hAnsi="Times New Roman"/>
          <w:sz w:val="24"/>
          <w:szCs w:val="24"/>
          <w:color w:val="auto"/>
        </w:rPr>
        <w:t>не съдържат опасни за околната среда и човешкото здраве вещества;</w:t>
      </w:r>
    </w:p>
    <w:p>
      <w:pPr>
        <w:ind w:left="1280" w:hanging="362"/>
        <w:spacing w:after="0" w:line="239" w:lineRule="auto"/>
        <w:tabs>
          <w:tab w:leader="none" w:pos="1280" w:val="left"/>
        </w:tabs>
        <w:numPr>
          <w:ilvl w:val="1"/>
          <w:numId w:val="19"/>
        </w:numPr>
        <w:rPr>
          <w:rFonts w:ascii="Symbol" w:cs="Symbol" w:eastAsia="Symbol" w:hAnsi="Symbol"/>
          <w:sz w:val="24"/>
          <w:szCs w:val="24"/>
          <w:color w:val="auto"/>
        </w:rPr>
      </w:pPr>
      <w:r>
        <w:rPr>
          <w:rFonts w:ascii="Times New Roman" w:cs="Times New Roman" w:eastAsia="Times New Roman" w:hAnsi="Times New Roman"/>
          <w:sz w:val="24"/>
          <w:szCs w:val="24"/>
          <w:color w:val="auto"/>
        </w:rPr>
        <w:t>не съдържат вещества, потенциално вредни за околната среда и здравето на хората;</w:t>
      </w:r>
    </w:p>
    <w:p>
      <w:pPr>
        <w:jc w:val="both"/>
        <w:ind w:left="1280" w:right="60" w:hanging="362"/>
        <w:spacing w:after="0" w:line="247" w:lineRule="auto"/>
        <w:tabs>
          <w:tab w:leader="none" w:pos="1280" w:val="left"/>
        </w:tabs>
        <w:numPr>
          <w:ilvl w:val="1"/>
          <w:numId w:val="19"/>
        </w:numPr>
        <w:rPr>
          <w:rFonts w:ascii="Symbol" w:cs="Symbol" w:eastAsia="Symbol" w:hAnsi="Symbol"/>
          <w:sz w:val="24"/>
          <w:szCs w:val="24"/>
          <w:color w:val="auto"/>
        </w:rPr>
      </w:pPr>
      <w:r>
        <w:rPr>
          <w:rFonts w:ascii="Times New Roman" w:cs="Times New Roman" w:eastAsia="Times New Roman" w:hAnsi="Times New Roman"/>
          <w:sz w:val="24"/>
          <w:szCs w:val="24"/>
          <w:color w:val="auto"/>
        </w:rPr>
        <w:t>не съдържат вещества и продукти, използвани при добива и първичната преработка, които могат да повлияят неблагоприятно върху компонентите на околната среда, безопасността и здравето на населението.</w:t>
      </w:r>
    </w:p>
    <w:p>
      <w:pPr>
        <w:spacing w:after="0" w:line="226" w:lineRule="exact"/>
        <w:rPr>
          <w:rFonts w:ascii="Symbol" w:cs="Symbol" w:eastAsia="Symbol" w:hAnsi="Symbol"/>
          <w:sz w:val="24"/>
          <w:szCs w:val="24"/>
          <w:color w:val="auto"/>
        </w:rPr>
      </w:pPr>
    </w:p>
    <w:p>
      <w:pPr>
        <w:ind w:left="800" w:hanging="242"/>
        <w:spacing w:after="0"/>
        <w:tabs>
          <w:tab w:leader="none" w:pos="800" w:val="left"/>
        </w:tabs>
        <w:numPr>
          <w:ilvl w:val="0"/>
          <w:numId w:val="19"/>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color w:val="auto"/>
        </w:rPr>
        <w:t>ВИД И КАТЕГОРИЯ НА СЪОРЖЕНИЕТО ЗА МИННИ ОТПАДЪЦИ</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-80010</wp:posOffset>
                </wp:positionH>
                <wp:positionV relativeFrom="paragraph">
                  <wp:posOffset>-175260</wp:posOffset>
                </wp:positionV>
                <wp:extent cx="6722110" cy="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722110" cy="4763"/>
                        </a:xfrm>
                        <a:prstGeom prst="line">
                          <a:avLst/>
                        </a:prstGeom>
                        <a:solidFill>
                          <a:srgbClr val="FFFFFF"/>
                        </a:solidFill>
                        <a:ln w="6108">
                          <a:solidFill>
                            <a:srgbClr val="000000"/>
                          </a:solidFill>
                          <a:miter lim="800000"/>
                          <a:headEnd/>
                          <a:tailEnd/>
                        </a:ln>
                      </wps:spPr>
                      <wps:bodyPr/>
                    </wps:wsp>
                  </a:graphicData>
                </a:graphic>
              </wp:anchor>
            </w:drawing>
          </mc:Choice>
          <mc:Fallback>
            <w:pict>
              <v:line id="Shape 41" o:spid="_x0000_s106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2999pt,-13.7999pt" to="523pt,-13.7999pt" o:allowincell="f" strokecolor="#000000" strokeweight="0.4809pt"/>
            </w:pict>
          </mc:Fallback>
        </mc:AlternateContent>
        <mc:AlternateContent>
          <mc:Choice Requires="wps">
            <w:drawing>
              <wp:anchor simplePos="0" relativeHeight="251657728" behindDoc="1" locked="0" layoutInCell="0" allowOverlap="1">
                <wp:simplePos x="0" y="0"/>
                <wp:positionH relativeFrom="column">
                  <wp:posOffset>-80010</wp:posOffset>
                </wp:positionH>
                <wp:positionV relativeFrom="paragraph">
                  <wp:posOffset>31115</wp:posOffset>
                </wp:positionV>
                <wp:extent cx="6722110" cy="0"/>
                <wp:wrapNone/>
                <wp:docPr id="42" name="Shape 4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7221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2" o:spid="_x0000_s106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2999pt,2.45pt" to="523pt,2.4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-76835</wp:posOffset>
                </wp:positionH>
                <wp:positionV relativeFrom="paragraph">
                  <wp:posOffset>-178435</wp:posOffset>
                </wp:positionV>
                <wp:extent cx="0" cy="212725"/>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12725"/>
                        </a:xfrm>
                        <a:prstGeom prst="line">
                          <a:avLst/>
                        </a:prstGeom>
                        <a:solidFill>
                          <a:srgbClr val="FFFFFF"/>
                        </a:solidFill>
                        <a:ln w="6108">
                          <a:solidFill>
                            <a:srgbClr val="000000"/>
                          </a:solidFill>
                          <a:miter lim="800000"/>
                          <a:headEnd/>
                          <a:tailEnd/>
                        </a:ln>
                      </wps:spPr>
                      <wps:bodyPr/>
                    </wps:wsp>
                  </a:graphicData>
                </a:graphic>
              </wp:anchor>
            </w:drawing>
          </mc:Choice>
          <mc:Fallback>
            <w:pict>
              <v:line id="Shape 43" o:spid="_x0000_s10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0499pt,-14.0499pt" to="-6.0499pt,2.7pt" o:allowincell="f" strokecolor="#000000" strokeweight="0.4809pt"/>
            </w:pict>
          </mc:Fallback>
        </mc:AlternateContent>
        <mc:AlternateContent>
          <mc:Choice Requires="wps">
            <w:drawing>
              <wp:anchor simplePos="0" relativeHeight="251657728" behindDoc="1" locked="0" layoutInCell="0" allowOverlap="1">
                <wp:simplePos x="0" y="0"/>
                <wp:positionH relativeFrom="column">
                  <wp:posOffset>6638925</wp:posOffset>
                </wp:positionH>
                <wp:positionV relativeFrom="paragraph">
                  <wp:posOffset>-178435</wp:posOffset>
                </wp:positionV>
                <wp:extent cx="0" cy="212725"/>
                <wp:wrapNone/>
                <wp:docPr id="44" name="Shape 4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12725"/>
                        </a:xfrm>
                        <a:prstGeom prst="line">
                          <a:avLst/>
                        </a:prstGeom>
                        <a:solidFill>
                          <a:srgbClr val="FFFFFF"/>
                        </a:solidFill>
                        <a:ln w="6108">
                          <a:solidFill>
                            <a:srgbClr val="000000"/>
                          </a:solidFill>
                          <a:miter lim="800000"/>
                          <a:headEnd/>
                          <a:tailEnd/>
                        </a:ln>
                      </wps:spPr>
                      <wps:bodyPr/>
                    </wps:wsp>
                  </a:graphicData>
                </a:graphic>
              </wp:anchor>
            </w:drawing>
          </mc:Choice>
          <mc:Fallback>
            <w:pict>
              <v:line id="Shape 44" o:spid="_x0000_s10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22.75pt,-14.0499pt" to="522.75pt,2.7pt" o:allowincell="f" strokecolor="#000000" strokeweight="0.4809pt"/>
            </w:pict>
          </mc:Fallback>
        </mc:AlternateContent>
      </w:r>
    </w:p>
    <w:p>
      <w:pPr>
        <w:spacing w:after="0" w:line="127" w:lineRule="exact"/>
        <w:rPr>
          <w:sz w:val="20"/>
          <w:szCs w:val="20"/>
          <w:color w:val="auto"/>
        </w:rPr>
      </w:pPr>
    </w:p>
    <w:p>
      <w:pPr>
        <w:ind w:left="560"/>
        <w:spacing w:after="0"/>
        <w:rPr>
          <w:sz w:val="20"/>
          <w:szCs w:val="20"/>
          <w:color w:val="auto"/>
        </w:rPr>
      </w:pPr>
      <w:r>
        <w:rPr>
          <w:rFonts w:ascii="Times New Roman" w:cs="Times New Roman" w:eastAsia="Times New Roman" w:hAnsi="Times New Roman"/>
          <w:sz w:val="24"/>
          <w:szCs w:val="24"/>
          <w:b w:val="1"/>
          <w:bCs w:val="1"/>
          <w:i w:val="1"/>
          <w:iCs w:val="1"/>
          <w:color w:val="auto"/>
        </w:rPr>
        <w:t>4.1 Местоположение на съоръженията за минни отпадъци</w:t>
      </w:r>
    </w:p>
    <w:p>
      <w:pPr>
        <w:spacing w:after="0" w:line="1" w:lineRule="exact"/>
        <w:rPr>
          <w:sz w:val="20"/>
          <w:szCs w:val="20"/>
          <w:color w:val="auto"/>
        </w:rPr>
      </w:pPr>
    </w:p>
    <w:p>
      <w:pPr>
        <w:ind w:left="560"/>
        <w:spacing w:after="0"/>
        <w:rPr>
          <w:sz w:val="20"/>
          <w:szCs w:val="20"/>
          <w:color w:val="auto"/>
        </w:rPr>
      </w:pPr>
      <w:r>
        <w:rPr>
          <w:rFonts w:ascii="Times New Roman" w:cs="Times New Roman" w:eastAsia="Times New Roman" w:hAnsi="Times New Roman"/>
          <w:sz w:val="24"/>
          <w:szCs w:val="24"/>
          <w:color w:val="auto"/>
        </w:rPr>
        <w:t>Почвените материали ще се депонират на изградено външно насипище (прил. 1).</w:t>
      </w:r>
    </w:p>
    <w:p>
      <w:pPr>
        <w:jc w:val="both"/>
        <w:ind w:right="60" w:firstLine="566"/>
        <w:spacing w:after="0"/>
        <w:rPr>
          <w:sz w:val="20"/>
          <w:szCs w:val="20"/>
          <w:color w:val="auto"/>
        </w:rPr>
      </w:pPr>
      <w:r>
        <w:rPr>
          <w:rFonts w:ascii="Times New Roman" w:cs="Times New Roman" w:eastAsia="Times New Roman" w:hAnsi="Times New Roman"/>
          <w:sz w:val="24"/>
          <w:szCs w:val="24"/>
          <w:color w:val="auto"/>
        </w:rPr>
        <w:t>Скалната откривка от песъчлива глина в началния етап на експлоатация ще се депонира съшо на външно насипище, но в рамките на концесионната площ, а след освобождаване на достатъчно място вследствие на добива ще се депонира директно във вътрешни насипища в отработеното пространство.</w:t>
      </w:r>
    </w:p>
    <w:p>
      <w:pPr>
        <w:ind w:left="560"/>
        <w:spacing w:after="0"/>
        <w:rPr>
          <w:sz w:val="20"/>
          <w:szCs w:val="20"/>
          <w:color w:val="auto"/>
        </w:rPr>
      </w:pPr>
      <w:r>
        <w:rPr>
          <w:rFonts w:ascii="Times New Roman" w:cs="Times New Roman" w:eastAsia="Times New Roman" w:hAnsi="Times New Roman"/>
          <w:sz w:val="24"/>
          <w:szCs w:val="24"/>
          <w:color w:val="auto"/>
        </w:rPr>
        <w:t>Вътрешните кариерни насипища в края на експлоатацията ще се закрият чрез рекултивирането</w:t>
      </w:r>
    </w:p>
    <w:p>
      <w:pPr>
        <w:spacing w:after="0"/>
        <w:rPr>
          <w:sz w:val="20"/>
          <w:szCs w:val="20"/>
          <w:color w:val="auto"/>
        </w:rPr>
      </w:pPr>
      <w:r>
        <w:rPr>
          <w:rFonts w:ascii="Times New Roman" w:cs="Times New Roman" w:eastAsia="Times New Roman" w:hAnsi="Times New Roman"/>
          <w:sz w:val="24"/>
          <w:szCs w:val="24"/>
          <w:color w:val="auto"/>
        </w:rPr>
        <w:t>им.</w:t>
      </w:r>
    </w:p>
    <w:p>
      <w:pPr>
        <w:jc w:val="both"/>
        <w:ind w:right="60" w:firstLine="566"/>
        <w:spacing w:after="0" w:line="248" w:lineRule="auto"/>
        <w:rPr>
          <w:sz w:val="20"/>
          <w:szCs w:val="20"/>
          <w:color w:val="auto"/>
        </w:rPr>
      </w:pPr>
      <w:r>
        <w:rPr>
          <w:rFonts w:ascii="Times New Roman" w:cs="Times New Roman" w:eastAsia="Times New Roman" w:hAnsi="Times New Roman"/>
          <w:sz w:val="24"/>
          <w:szCs w:val="24"/>
          <w:color w:val="auto"/>
        </w:rPr>
        <w:t>Местоположението на съоръженията за депониране на минни отпадъци е определено на база анализ на необходимите площи за разполагане на насипищата и спазване на законовото изискване да са изградени в границите на концесионната площ, но извън контура на запасите полезно изкопаемо. Поради това обстоятелство други алтернативни варианти за местоположение не са осъществими.</w:t>
      </w:r>
    </w:p>
    <w:p>
      <w:pPr>
        <w:spacing w:after="0" w:line="73" w:lineRule="exact"/>
        <w:rPr>
          <w:sz w:val="20"/>
          <w:szCs w:val="20"/>
          <w:color w:val="auto"/>
        </w:rPr>
      </w:pPr>
    </w:p>
    <w:p>
      <w:pPr>
        <w:ind w:left="560" w:right="3420"/>
        <w:spacing w:after="0"/>
        <w:rPr>
          <w:sz w:val="20"/>
          <w:szCs w:val="20"/>
          <w:color w:val="auto"/>
        </w:rPr>
      </w:pPr>
      <w:r>
        <w:rPr>
          <w:rFonts w:ascii="Times New Roman" w:cs="Times New Roman" w:eastAsia="Times New Roman" w:hAnsi="Times New Roman"/>
          <w:sz w:val="24"/>
          <w:szCs w:val="24"/>
          <w:b w:val="1"/>
          <w:bCs w:val="1"/>
          <w:i w:val="1"/>
          <w:iCs w:val="1"/>
          <w:color w:val="auto"/>
        </w:rPr>
        <w:t xml:space="preserve">4.2. Състояние на земната повърхност, засегната от СМО </w:t>
      </w:r>
      <w:r>
        <w:rPr>
          <w:rFonts w:ascii="Times New Roman" w:cs="Times New Roman" w:eastAsia="Times New Roman" w:hAnsi="Times New Roman"/>
          <w:sz w:val="24"/>
          <w:szCs w:val="24"/>
          <w:i w:val="1"/>
          <w:iCs w:val="1"/>
          <w:color w:val="auto"/>
        </w:rPr>
        <w:t>Хидрогеоложки условия в находището.</w:t>
      </w:r>
    </w:p>
    <w:p>
      <w:pPr>
        <w:spacing w:after="0" w:line="1" w:lineRule="exact"/>
        <w:rPr>
          <w:sz w:val="20"/>
          <w:szCs w:val="20"/>
          <w:color w:val="auto"/>
        </w:rPr>
      </w:pPr>
    </w:p>
    <w:p>
      <w:pPr>
        <w:ind w:right="60" w:firstLine="566"/>
        <w:spacing w:after="0"/>
        <w:rPr>
          <w:sz w:val="20"/>
          <w:szCs w:val="20"/>
          <w:color w:val="auto"/>
        </w:rPr>
      </w:pPr>
      <w:r>
        <w:rPr>
          <w:rFonts w:ascii="Times New Roman" w:cs="Times New Roman" w:eastAsia="Times New Roman" w:hAnsi="Times New Roman"/>
          <w:sz w:val="24"/>
          <w:szCs w:val="24"/>
          <w:color w:val="auto"/>
        </w:rPr>
        <w:t>Глауконитовият пясъчников комплекс, изграждащ находище „Глория” представлява невисок планински хребет с надморска височина от порядъка на 200 до 300 m.</w:t>
      </w:r>
    </w:p>
    <w:p>
      <w:pPr>
        <w:ind w:right="60" w:firstLine="566"/>
        <w:spacing w:after="0"/>
        <w:rPr>
          <w:sz w:val="20"/>
          <w:szCs w:val="20"/>
          <w:color w:val="auto"/>
        </w:rPr>
      </w:pPr>
      <w:r>
        <w:rPr>
          <w:rFonts w:ascii="Times New Roman" w:cs="Times New Roman" w:eastAsia="Times New Roman" w:hAnsi="Times New Roman"/>
          <w:sz w:val="24"/>
          <w:szCs w:val="24"/>
          <w:color w:val="auto"/>
        </w:rPr>
        <w:t>На много места глауконитовите пясъчници са разсечени от значими разломни и пукнатинни структури.</w:t>
      </w:r>
    </w:p>
    <w:p>
      <w:pPr>
        <w:ind w:right="60" w:firstLine="566"/>
        <w:spacing w:after="0"/>
        <w:rPr>
          <w:sz w:val="20"/>
          <w:szCs w:val="20"/>
          <w:color w:val="auto"/>
        </w:rPr>
      </w:pPr>
      <w:r>
        <w:rPr>
          <w:rFonts w:ascii="Times New Roman" w:cs="Times New Roman" w:eastAsia="Times New Roman" w:hAnsi="Times New Roman"/>
          <w:sz w:val="24"/>
          <w:szCs w:val="24"/>
          <w:color w:val="auto"/>
        </w:rPr>
        <w:t>Тези особености на масива и самата структура на глауконитовите пясъчници, способстват за сравнително бързото просмукване на атмосферните води в дълбочина.</w:t>
      </w:r>
    </w:p>
    <w:p>
      <w:pPr>
        <w:jc w:val="right"/>
        <w:ind w:right="60"/>
        <w:spacing w:after="0"/>
        <w:rPr>
          <w:sz w:val="20"/>
          <w:szCs w:val="20"/>
          <w:color w:val="auto"/>
        </w:rPr>
      </w:pPr>
      <w:r>
        <w:rPr>
          <w:rFonts w:ascii="Times New Roman" w:cs="Times New Roman" w:eastAsia="Times New Roman" w:hAnsi="Times New Roman"/>
          <w:sz w:val="24"/>
          <w:szCs w:val="24"/>
          <w:color w:val="auto"/>
        </w:rPr>
        <w:t>В проучваната територия са налице множество малки дерета. Те дренират водния отток и</w:t>
      </w:r>
    </w:p>
    <w:p>
      <w:pPr>
        <w:spacing w:after="0" w:line="142"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0"/>
          <w:szCs w:val="20"/>
          <w:color w:val="auto"/>
        </w:rPr>
        <w:t>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-15240</wp:posOffset>
            </wp:positionH>
            <wp:positionV relativeFrom="paragraph">
              <wp:posOffset>-60325</wp:posOffset>
            </wp:positionV>
            <wp:extent cx="6438900" cy="2857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
                      <a:extLst>
                        <a:ext uri="{28A0092B-C50C-407E-A947-70E740481C1C}"/>
                      </a:extLst>
                    </a:blip>
                    <a:srcRect/>
                    <a:stretch>
                      <a:fillRect/>
                    </a:stretch>
                  </pic:blipFill>
                  <pic:spPr bwMode="auto">
                    <a:xfrm>
                      <a:off x="0" y="0"/>
                      <a:ext cx="6438900" cy="28575"/>
                    </a:xfrm>
                    <a:prstGeom prst="rect">
                      <a:avLst/>
                    </a:prstGeom>
                    <a:noFill/>
                  </pic:spPr>
                </pic:pic>
              </a:graphicData>
            </a:graphic>
          </wp:anchor>
        </w:drawing>
      </w:r>
    </w:p>
    <w:p>
      <w:pPr>
        <w:sectPr>
          <w:pgSz w:w="11920" w:h="16850" w:orient="portrait"/>
          <w:cols w:equalWidth="0" w:num="1">
            <w:col w:w="10400"/>
          </w:cols>
          <w:pgMar w:left="1000" w:top="376" w:right="511" w:bottom="0" w:gutter="0" w:footer="0" w:header="0"/>
        </w:sectPr>
      </w:pPr>
    </w:p>
    <w:p>
      <w:pPr>
        <w:spacing w:after="0" w:line="2" w:lineRule="exact"/>
        <w:rPr>
          <w:sz w:val="20"/>
          <w:szCs w:val="20"/>
          <w:color w:val="auto"/>
        </w:rPr>
      </w:pPr>
    </w:p>
    <w:p>
      <w:pPr>
        <w:jc w:val="center"/>
        <w:ind w:right="6760"/>
        <w:spacing w:after="0"/>
        <w:rPr>
          <w:sz w:val="20"/>
          <w:szCs w:val="20"/>
          <w:color w:val="auto"/>
        </w:rPr>
      </w:pPr>
      <w:r>
        <w:rPr>
          <w:rFonts w:ascii="Times New Roman" w:cs="Times New Roman" w:eastAsia="Times New Roman" w:hAnsi="Times New Roman"/>
          <w:sz w:val="15"/>
          <w:szCs w:val="15"/>
          <w:b w:val="1"/>
          <w:bCs w:val="1"/>
          <w:color w:val="999999"/>
        </w:rPr>
        <w:t>Титуляр: „БН-КОНСУЛТ-ИНЖЕНИРИНГ” ООД</w:t>
      </w:r>
    </w:p>
    <w:p>
      <w:pPr>
        <w:spacing w:after="0" w:line="12" w:lineRule="exact"/>
        <w:rPr>
          <w:sz w:val="20"/>
          <w:szCs w:val="20"/>
          <w:color w:val="auto"/>
        </w:rPr>
      </w:pPr>
    </w:p>
    <w:p>
      <w:pPr>
        <w:jc w:val="center"/>
        <w:ind w:right="6880"/>
        <w:spacing w:after="0"/>
        <w:rPr>
          <w:sz w:val="20"/>
          <w:szCs w:val="20"/>
          <w:color w:val="auto"/>
        </w:rPr>
      </w:pPr>
      <w:r>
        <w:rPr>
          <w:rFonts w:ascii="Times New Roman" w:cs="Times New Roman" w:eastAsia="Times New Roman" w:hAnsi="Times New Roman"/>
          <w:sz w:val="16"/>
          <w:szCs w:val="16"/>
          <w:b w:val="1"/>
          <w:bCs w:val="1"/>
          <w:color w:val="999999"/>
        </w:rPr>
        <w:t>гр. София</w:t>
      </w:r>
    </w:p>
    <w:p>
      <w:pPr>
        <w:sectPr>
          <w:pgSz w:w="11920" w:h="16850" w:orient="portrait"/>
          <w:cols w:equalWidth="0" w:num="1">
            <w:col w:w="10400"/>
          </w:cols>
          <w:pgMar w:left="1000" w:top="376" w:right="511" w:bottom="0" w:gutter="0" w:footer="0" w:header="0"/>
          <w:type w:val="continuous"/>
        </w:sectPr>
      </w:pPr>
    </w:p>
    <w:p>
      <w:pPr>
        <w:jc w:val="both"/>
        <w:ind w:right="60"/>
        <w:spacing w:after="0" w:line="255" w:lineRule="auto"/>
        <w:rPr>
          <w:sz w:val="20"/>
          <w:szCs w:val="20"/>
          <w:color w:val="auto"/>
        </w:rPr>
      </w:pPr>
      <w:r>
        <w:rPr>
          <w:rFonts w:ascii="Times New Roman" w:cs="Times New Roman" w:eastAsia="Times New Roman" w:hAnsi="Times New Roman"/>
          <w:sz w:val="20"/>
          <w:szCs w:val="20"/>
          <w:b w:val="1"/>
          <w:bCs w:val="1"/>
          <w:color w:val="auto"/>
        </w:rPr>
        <w:t xml:space="preserve">ПРЕДЛОЖЕНИЕ ЗА УПРАВЛЕНИЕ НА МИННИТЕ ОТПАДЪЦИ при осъществяване на инвестиционно предложение: „Добив на подземни богатства – индустриални минерали - глауконитови пясъчници от находище </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b w:val="1"/>
          <w:bCs w:val="1"/>
          <w:color w:val="auto"/>
        </w:rPr>
        <w:t>ГЛОРИЯ</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b w:val="1"/>
          <w:bCs w:val="1"/>
          <w:color w:val="auto"/>
        </w:rPr>
        <w:t>,</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разположено в землищата на с.</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Мало Пещене и с.</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Голямо Пещене,</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община Враца,</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област Враца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-12700</wp:posOffset>
                </wp:positionH>
                <wp:positionV relativeFrom="paragraph">
                  <wp:posOffset>15875</wp:posOffset>
                </wp:positionV>
                <wp:extent cx="6553200" cy="0"/>
                <wp:wrapNone/>
                <wp:docPr id="46" name="Shape 4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53200" cy="4763"/>
                        </a:xfrm>
                        <a:prstGeom prst="line">
                          <a:avLst/>
                        </a:prstGeom>
                        <a:solidFill>
                          <a:srgbClr val="FFFFFF"/>
                        </a:solidFill>
                        <a:ln w="9525">
                          <a:solidFill>
                            <a:srgbClr val="969696"/>
                          </a:solidFill>
                          <a:miter lim="800000"/>
                          <a:headEnd/>
                          <a:tailEnd/>
                        </a:ln>
                      </wps:spPr>
                      <wps:bodyPr/>
                    </wps:wsp>
                  </a:graphicData>
                </a:graphic>
              </wp:anchor>
            </w:drawing>
          </mc:Choice>
          <mc:Fallback>
            <w:pict>
              <v:line id="Shape 46" o:spid="_x0000_s107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pt,1.25pt" to="515pt,1.25pt" o:allowincell="f" strokecolor="#969696" strokeweight="0.75pt"/>
            </w:pict>
          </mc:Fallback>
        </mc:AlternateContent>
      </w:r>
    </w:p>
    <w:p>
      <w:pPr>
        <w:spacing w:after="0" w:line="155" w:lineRule="exact"/>
        <w:rPr>
          <w:sz w:val="20"/>
          <w:szCs w:val="20"/>
          <w:color w:val="auto"/>
        </w:rPr>
      </w:pPr>
    </w:p>
    <w:p>
      <w:pPr>
        <w:jc w:val="both"/>
        <w:ind w:right="60"/>
        <w:spacing w:after="0" w:line="239" w:lineRule="auto"/>
        <w:rPr>
          <w:sz w:val="20"/>
          <w:szCs w:val="20"/>
          <w:color w:val="auto"/>
        </w:rPr>
      </w:pPr>
      <w:r>
        <w:rPr>
          <w:rFonts w:ascii="Times New Roman" w:cs="Times New Roman" w:eastAsia="Times New Roman" w:hAnsi="Times New Roman"/>
          <w:sz w:val="24"/>
          <w:szCs w:val="24"/>
          <w:color w:val="auto"/>
        </w:rPr>
        <w:t>дават начало на малки поточета, които захранват р. Скът, ляв приток на р. Огоста. Имено тази река се явява и основния акумулатор на всички води в проучвателната площ. Хидрогеоложките и инженерно-геоложките условия позволяват проектирането и реализирането на открит кариерен добив на скалния материал в региона.</w:t>
      </w:r>
    </w:p>
    <w:p>
      <w:pPr>
        <w:spacing w:after="0" w:line="1" w:lineRule="exact"/>
        <w:rPr>
          <w:sz w:val="20"/>
          <w:szCs w:val="20"/>
          <w:color w:val="auto"/>
        </w:rPr>
      </w:pPr>
    </w:p>
    <w:p>
      <w:pPr>
        <w:ind w:left="560"/>
        <w:spacing w:after="0"/>
        <w:rPr>
          <w:sz w:val="20"/>
          <w:szCs w:val="20"/>
          <w:color w:val="auto"/>
        </w:rPr>
      </w:pPr>
      <w:r>
        <w:rPr>
          <w:rFonts w:ascii="Times New Roman" w:cs="Times New Roman" w:eastAsia="Times New Roman" w:hAnsi="Times New Roman"/>
          <w:sz w:val="24"/>
          <w:szCs w:val="24"/>
          <w:i w:val="1"/>
          <w:iCs w:val="1"/>
          <w:color w:val="auto"/>
        </w:rPr>
        <w:t>Морфоложки данни за района.</w:t>
      </w:r>
    </w:p>
    <w:p>
      <w:pPr>
        <w:spacing w:after="0" w:line="4" w:lineRule="exact"/>
        <w:rPr>
          <w:sz w:val="20"/>
          <w:szCs w:val="20"/>
          <w:color w:val="auto"/>
        </w:rPr>
      </w:pPr>
    </w:p>
    <w:p>
      <w:pPr>
        <w:jc w:val="both"/>
        <w:ind w:right="60" w:firstLine="566"/>
        <w:spacing w:after="0"/>
        <w:rPr>
          <w:sz w:val="20"/>
          <w:szCs w:val="20"/>
          <w:color w:val="auto"/>
        </w:rPr>
      </w:pPr>
      <w:r>
        <w:rPr>
          <w:rFonts w:ascii="Times New Roman" w:cs="Times New Roman" w:eastAsia="Times New Roman" w:hAnsi="Times New Roman"/>
          <w:sz w:val="24"/>
          <w:szCs w:val="24"/>
          <w:color w:val="auto"/>
        </w:rPr>
        <w:t>Районът на находище „Глория попада в централната част на малък нископланински хребет, съставна част на Предбалкана, заемащ междинно положение между Мизийската равнина от север и Централния Балкан от юг.</w:t>
      </w:r>
    </w:p>
    <w:p>
      <w:pPr>
        <w:jc w:val="both"/>
        <w:ind w:right="60" w:firstLine="558"/>
        <w:spacing w:after="0"/>
        <w:tabs>
          <w:tab w:leader="none" w:pos="859" w:val="left"/>
        </w:tabs>
        <w:numPr>
          <w:ilvl w:val="0"/>
          <w:numId w:val="20"/>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строежа на този хребет участват разнообразни по състав долнокредни и горнокредни формации, изграждащи доста добре запазена северозапад-югоизточна синклинална структура и още по-точно югоизточната периклинална част на тази структура.</w:t>
      </w:r>
    </w:p>
    <w:p>
      <w:pPr>
        <w:ind w:right="60" w:firstLine="566"/>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Основна водосборна артерия е р. Скът и нейните малки притоци и дерета, дрениращи целия воден отток в района.</w:t>
      </w:r>
    </w:p>
    <w:p>
      <w:pPr>
        <w:jc w:val="both"/>
        <w:ind w:right="60" w:firstLine="558"/>
        <w:spacing w:after="0"/>
        <w:tabs>
          <w:tab w:leader="none" w:pos="850" w:val="left"/>
        </w:tabs>
        <w:numPr>
          <w:ilvl w:val="0"/>
          <w:numId w:val="20"/>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обсега на находището са разпространени основно сивите горски почви, формирани на терени, заемани в близкото минало от горски насаждения. Хумусният слой е около 0.50-0,80 m и се характеризира със значително съдържание на хранителни вещества, в това число и на калий, фосфор и азот, вероятно взаимствани от разположения в дълбочина глауконитов субстракт.</w:t>
      </w:r>
    </w:p>
    <w:p>
      <w:pPr>
        <w:ind w:right="60" w:firstLine="566"/>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Районът на площта е със специфична флора и фауна, с представители на няколко фитогеографски и зоогеографски зони.</w:t>
      </w:r>
    </w:p>
    <w:p>
      <w:pPr>
        <w:ind w:right="60" w:firstLine="566"/>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Естествени горски масиви са разположени южно от находището и са представени от широколистните видове драка, леска, клен, люляк, шипка, глог, дъб, дива круша и др.</w:t>
      </w:r>
    </w:p>
    <w:p>
      <w:pPr>
        <w:jc w:val="both"/>
        <w:ind w:right="60" w:firstLine="566"/>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При реализиране на инвестиционното предложение ще се използват съществуващите селскостопански пътища, които създават много добър достъп до всички части на находището, като, естествено, основата им ще бъде заздравена, уплътнена и насипана с трошени каменни фракции и баластра, за да се получи достатъчно устойчив макаданов път.</w:t>
      </w:r>
    </w:p>
    <w:p>
      <w:pPr>
        <w:jc w:val="both"/>
        <w:ind w:right="60" w:firstLine="558"/>
        <w:spacing w:after="0"/>
        <w:tabs>
          <w:tab w:leader="none" w:pos="886" w:val="left"/>
        </w:tabs>
        <w:numPr>
          <w:ilvl w:val="0"/>
          <w:numId w:val="20"/>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обсега на находището попадат имоти държавен горски фонд – частна и държавна собственост, както и такава, собственост на частни лица и общината – ниви, пасища, трайни насаждения – общинска, държавен поземлен фонд. Най-близките села до находището са с. Мало Пещене и с. Голямо Пещене, които са електрифицирани, водоснабдени и телефонизирано.</w:t>
      </w:r>
    </w:p>
    <w:p>
      <w:pPr>
        <w:jc w:val="both"/>
        <w:ind w:right="60" w:firstLine="566"/>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b w:val="1"/>
          <w:bCs w:val="1"/>
          <w:i w:val="1"/>
          <w:iCs w:val="1"/>
          <w:color w:val="auto"/>
        </w:rPr>
        <w:t>Сеизмични данни</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b w:val="1"/>
          <w:bCs w:val="1"/>
          <w:i w:val="1"/>
          <w:iCs w:val="1"/>
          <w:color w:val="auto"/>
        </w:rPr>
        <w:t xml:space="preserve"> </w:t>
      </w:r>
      <w:r>
        <w:rPr>
          <w:rFonts w:ascii="Times New Roman" w:cs="Times New Roman" w:eastAsia="Times New Roman" w:hAnsi="Times New Roman"/>
          <w:sz w:val="24"/>
          <w:szCs w:val="24"/>
          <w:color w:val="auto"/>
        </w:rPr>
        <w:t>Според действащото сеизмично райониране на република България,</w:t>
      </w:r>
      <w:r>
        <w:rPr>
          <w:rFonts w:ascii="Times New Roman" w:cs="Times New Roman" w:eastAsia="Times New Roman" w:hAnsi="Times New Roman"/>
          <w:sz w:val="24"/>
          <w:szCs w:val="24"/>
          <w:b w:val="1"/>
          <w:bCs w:val="1"/>
          <w:i w:val="1"/>
          <w:iCs w:val="1"/>
          <w:color w:val="auto"/>
        </w:rPr>
        <w:t xml:space="preserve"> </w:t>
      </w:r>
      <w:r>
        <w:rPr>
          <w:rFonts w:ascii="Times New Roman" w:cs="Times New Roman" w:eastAsia="Times New Roman" w:hAnsi="Times New Roman"/>
          <w:sz w:val="24"/>
          <w:szCs w:val="24"/>
          <w:color w:val="auto"/>
        </w:rPr>
        <w:t xml:space="preserve">района на находище “Глория” попада в територия с вероятност от възникване на земетресение със степен на въздействие до VII по Медведев-Шпонхойер-Карник (MSK). Коефициентът на сеизмичност за района е </w:t>
      </w:r>
      <w:r>
        <w:rPr>
          <w:rFonts w:ascii="Times New Roman" w:cs="Times New Roman" w:eastAsia="Times New Roman" w:hAnsi="Times New Roman"/>
          <w:sz w:val="24"/>
          <w:szCs w:val="24"/>
          <w:i w:val="1"/>
          <w:iCs w:val="1"/>
          <w:color w:val="auto"/>
        </w:rPr>
        <w:t>Кс</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i w:val="1"/>
          <w:iCs w:val="1"/>
          <w:color w:val="auto"/>
        </w:rPr>
        <w:t>= 0.10.</w:t>
      </w:r>
    </w:p>
    <w:p>
      <w:pPr>
        <w:ind w:right="60" w:firstLine="566"/>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Следващата таблица показва характера на очакваните разрушения в зависимост от степента на въздействие на земетресението:</w:t>
      </w:r>
    </w:p>
    <w:tbl>
      <w:tblPr>
        <w:tblLayout w:type="fixed"/>
        <w:tblInd w:w="710" w:type="dxa"/>
        <w:tblCellMar>
          <w:top w:w="0" w:type="dxa"/>
          <w:left w:w="0" w:type="dxa"/>
          <w:bottom w:w="0" w:type="dxa"/>
          <w:right w:w="0" w:type="dxa"/>
        </w:tblCellMar>
      </w:tblPr>
      <w:tr>
        <w:trPr>
          <w:trHeight w:val="302"/>
        </w:trPr>
        <w:tc>
          <w:tcPr>
            <w:tcW w:w="4440" w:type="dxa"/>
            <w:vAlign w:val="bottom"/>
            <w:tcBorders>
              <w:bottom w:val="single" w:sz="8" w:color="auto"/>
            </w:tcBorders>
          </w:tcPr>
          <w:p>
            <w:pPr>
              <w:spacing w:after="0"/>
              <w:rPr>
                <w:sz w:val="24"/>
                <w:szCs w:val="24"/>
                <w:color w:val="auto"/>
              </w:rPr>
            </w:pPr>
          </w:p>
        </w:tc>
        <w:tc>
          <w:tcPr>
            <w:tcW w:w="4500" w:type="dxa"/>
            <w:vAlign w:val="bottom"/>
            <w:tcBorders>
              <w:bottom w:val="single" w:sz="8" w:color="auto"/>
            </w:tcBorders>
          </w:tcPr>
          <w:p>
            <w:pPr>
              <w:ind w:left="2980"/>
              <w:spacing w:after="0"/>
              <w:rPr>
                <w:sz w:val="20"/>
                <w:szCs w:val="20"/>
                <w:color w:val="auto"/>
              </w:rPr>
            </w:pPr>
            <w:r>
              <w:rPr>
                <w:rFonts w:ascii="Times New Roman" w:cs="Times New Roman" w:eastAsia="Times New Roman" w:hAnsi="Times New Roman"/>
                <w:sz w:val="24"/>
                <w:szCs w:val="24"/>
                <w:color w:val="auto"/>
              </w:rPr>
              <w:t>Таблица № 2</w:t>
            </w:r>
          </w:p>
        </w:tc>
      </w:tr>
      <w:tr>
        <w:trPr>
          <w:trHeight w:val="266"/>
        </w:trPr>
        <w:tc>
          <w:tcPr>
            <w:tcW w:w="4440" w:type="dxa"/>
            <w:vAlign w:val="bottom"/>
            <w:tcBorders>
              <w:left w:val="single" w:sz="8" w:color="auto"/>
              <w:bottom w:val="single" w:sz="8" w:color="auto"/>
              <w:right w:val="single" w:sz="8" w:color="auto"/>
            </w:tcBorders>
          </w:tcPr>
          <w:p>
            <w:pPr>
              <w:jc w:val="center"/>
              <w:ind w:left="440"/>
              <w:spacing w:after="0" w:line="265" w:lineRule="exact"/>
              <w:rPr>
                <w:sz w:val="20"/>
                <w:szCs w:val="20"/>
                <w:color w:val="auto"/>
              </w:rPr>
            </w:pPr>
            <w:r>
              <w:rPr>
                <w:rFonts w:ascii="Times New Roman" w:cs="Times New Roman" w:eastAsia="Times New Roman" w:hAnsi="Times New Roman"/>
                <w:sz w:val="24"/>
                <w:szCs w:val="24"/>
                <w:b w:val="1"/>
                <w:bCs w:val="1"/>
                <w:color w:val="auto"/>
              </w:rPr>
              <w:t xml:space="preserve">Степен на въздействие по </w:t>
            </w:r>
            <w:r>
              <w:rPr>
                <w:rFonts w:ascii="Times New Roman" w:cs="Times New Roman" w:eastAsia="Times New Roman" w:hAnsi="Times New Roman"/>
                <w:sz w:val="24"/>
                <w:szCs w:val="24"/>
                <w:b w:val="1"/>
                <w:bCs w:val="1"/>
                <w:i w:val="1"/>
                <w:iCs w:val="1"/>
                <w:color w:val="auto"/>
              </w:rPr>
              <w:t>МШК</w:t>
            </w:r>
          </w:p>
        </w:tc>
        <w:tc>
          <w:tcPr>
            <w:tcW w:w="4500" w:type="dxa"/>
            <w:vAlign w:val="bottom"/>
            <w:tcBorders>
              <w:bottom w:val="single" w:sz="8" w:color="auto"/>
              <w:right w:val="single" w:sz="8" w:color="auto"/>
            </w:tcBorders>
          </w:tcPr>
          <w:p>
            <w:pPr>
              <w:jc w:val="center"/>
              <w:ind w:left="440"/>
              <w:spacing w:after="0" w:line="265" w:lineRule="exact"/>
              <w:rPr>
                <w:sz w:val="20"/>
                <w:szCs w:val="20"/>
                <w:color w:val="auto"/>
              </w:rPr>
            </w:pPr>
            <w:r>
              <w:rPr>
                <w:rFonts w:ascii="Times New Roman" w:cs="Times New Roman" w:eastAsia="Times New Roman" w:hAnsi="Times New Roman"/>
                <w:sz w:val="24"/>
                <w:szCs w:val="24"/>
                <w:b w:val="1"/>
                <w:bCs w:val="1"/>
                <w:color w:val="auto"/>
              </w:rPr>
              <w:t>Характер на разрушенията</w:t>
            </w:r>
          </w:p>
        </w:tc>
      </w:tr>
      <w:tr>
        <w:trPr>
          <w:trHeight w:val="266"/>
        </w:trPr>
        <w:tc>
          <w:tcPr>
            <w:tcW w:w="4440" w:type="dxa"/>
            <w:vAlign w:val="bottom"/>
            <w:tcBorders>
              <w:left w:val="single" w:sz="8" w:color="auto"/>
              <w:bottom w:val="single" w:sz="8" w:color="auto"/>
              <w:right w:val="single" w:sz="8" w:color="auto"/>
            </w:tcBorders>
          </w:tcPr>
          <w:p>
            <w:pPr>
              <w:jc w:val="center"/>
              <w:ind w:left="420"/>
              <w:spacing w:after="0" w:line="265" w:lineRule="exact"/>
              <w:rPr>
                <w:sz w:val="20"/>
                <w:szCs w:val="20"/>
                <w:color w:val="auto"/>
              </w:rPr>
            </w:pPr>
            <w:r>
              <w:rPr>
                <w:rFonts w:ascii="Times New Roman" w:cs="Times New Roman" w:eastAsia="Times New Roman" w:hAnsi="Times New Roman"/>
                <w:sz w:val="24"/>
                <w:szCs w:val="24"/>
                <w:i w:val="1"/>
                <w:iCs w:val="1"/>
                <w:color w:val="auto"/>
                <w:w w:val="99"/>
              </w:rPr>
              <w:t>До VI степен</w:t>
            </w:r>
          </w:p>
        </w:tc>
        <w:tc>
          <w:tcPr>
            <w:tcW w:w="4500" w:type="dxa"/>
            <w:vAlign w:val="bottom"/>
            <w:tcBorders>
              <w:bottom w:val="single" w:sz="8" w:color="auto"/>
              <w:right w:val="single" w:sz="8" w:color="auto"/>
            </w:tcBorders>
          </w:tcPr>
          <w:p>
            <w:pPr>
              <w:jc w:val="center"/>
              <w:ind w:left="440"/>
              <w:spacing w:after="0" w:line="265" w:lineRule="exact"/>
              <w:rPr>
                <w:sz w:val="20"/>
                <w:szCs w:val="20"/>
                <w:color w:val="auto"/>
              </w:rPr>
            </w:pPr>
            <w:r>
              <w:rPr>
                <w:rFonts w:ascii="Times New Roman" w:cs="Times New Roman" w:eastAsia="Times New Roman" w:hAnsi="Times New Roman"/>
                <w:sz w:val="24"/>
                <w:szCs w:val="24"/>
                <w:i w:val="1"/>
                <w:iCs w:val="1"/>
                <w:color w:val="auto"/>
                <w:w w:val="99"/>
              </w:rPr>
              <w:t>Леки</w:t>
            </w:r>
          </w:p>
        </w:tc>
      </w:tr>
      <w:tr>
        <w:trPr>
          <w:trHeight w:val="268"/>
        </w:trPr>
        <w:tc>
          <w:tcPr>
            <w:tcW w:w="4440" w:type="dxa"/>
            <w:vAlign w:val="bottom"/>
            <w:tcBorders>
              <w:left w:val="single" w:sz="8" w:color="auto"/>
              <w:bottom w:val="single" w:sz="8" w:color="auto"/>
              <w:right w:val="single" w:sz="8" w:color="auto"/>
            </w:tcBorders>
          </w:tcPr>
          <w:p>
            <w:pPr>
              <w:jc w:val="center"/>
              <w:ind w:left="440"/>
              <w:spacing w:after="0" w:line="268" w:lineRule="exact"/>
              <w:rPr>
                <w:sz w:val="20"/>
                <w:szCs w:val="20"/>
                <w:color w:val="auto"/>
              </w:rPr>
            </w:pPr>
            <w:r>
              <w:rPr>
                <w:rFonts w:ascii="Times New Roman" w:cs="Times New Roman" w:eastAsia="Times New Roman" w:hAnsi="Times New Roman"/>
                <w:sz w:val="24"/>
                <w:szCs w:val="24"/>
                <w:i w:val="1"/>
                <w:iCs w:val="1"/>
                <w:color w:val="auto"/>
                <w:w w:val="99"/>
              </w:rPr>
              <w:t>VI-IX степен</w:t>
            </w:r>
          </w:p>
        </w:tc>
        <w:tc>
          <w:tcPr>
            <w:tcW w:w="4500" w:type="dxa"/>
            <w:vAlign w:val="bottom"/>
            <w:tcBorders>
              <w:bottom w:val="single" w:sz="8" w:color="auto"/>
              <w:right w:val="single" w:sz="8" w:color="auto"/>
            </w:tcBorders>
          </w:tcPr>
          <w:p>
            <w:pPr>
              <w:jc w:val="center"/>
              <w:ind w:left="420"/>
              <w:spacing w:after="0" w:line="268" w:lineRule="exact"/>
              <w:rPr>
                <w:sz w:val="20"/>
                <w:szCs w:val="20"/>
                <w:color w:val="auto"/>
              </w:rPr>
            </w:pPr>
            <w:r>
              <w:rPr>
                <w:rFonts w:ascii="Times New Roman" w:cs="Times New Roman" w:eastAsia="Times New Roman" w:hAnsi="Times New Roman"/>
                <w:sz w:val="24"/>
                <w:szCs w:val="24"/>
                <w:i w:val="1"/>
                <w:iCs w:val="1"/>
                <w:color w:val="auto"/>
                <w:w w:val="97"/>
              </w:rPr>
              <w:t>Тежки</w:t>
            </w:r>
          </w:p>
        </w:tc>
      </w:tr>
    </w:tbl>
    <w:p>
      <w:pPr>
        <w:spacing w:after="0" w:line="244" w:lineRule="exact"/>
        <w:rPr>
          <w:sz w:val="20"/>
          <w:szCs w:val="20"/>
          <w:color w:val="auto"/>
        </w:rPr>
      </w:pPr>
    </w:p>
    <w:p>
      <w:pPr>
        <w:ind w:left="560"/>
        <w:spacing w:after="0"/>
        <w:rPr>
          <w:sz w:val="20"/>
          <w:szCs w:val="20"/>
          <w:color w:val="auto"/>
        </w:rPr>
      </w:pPr>
      <w:r>
        <w:rPr>
          <w:rFonts w:ascii="Times New Roman" w:cs="Times New Roman" w:eastAsia="Times New Roman" w:hAnsi="Times New Roman"/>
          <w:sz w:val="24"/>
          <w:szCs w:val="24"/>
          <w:color w:val="auto"/>
        </w:rPr>
        <w:t>Приложената по-долу карта представлява сеизмично райониране на територията на страната</w:t>
      </w:r>
      <w:r>
        <w:rPr>
          <w:rFonts w:ascii="Times New Roman" w:cs="Times New Roman" w:eastAsia="Times New Roman" w:hAnsi="Times New Roman"/>
          <w:sz w:val="24"/>
          <w:szCs w:val="24"/>
          <w:i w:val="1"/>
          <w:iCs w:val="1"/>
          <w:color w:val="auto"/>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9"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0"/>
          <w:szCs w:val="20"/>
          <w:color w:val="auto"/>
        </w:rPr>
        <w:t>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-15240</wp:posOffset>
            </wp:positionH>
            <wp:positionV relativeFrom="paragraph">
              <wp:posOffset>-60325</wp:posOffset>
            </wp:positionV>
            <wp:extent cx="6438900" cy="2857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
                      <a:extLst>
                        <a:ext uri="{28A0092B-C50C-407E-A947-70E740481C1C}"/>
                      </a:extLst>
                    </a:blip>
                    <a:srcRect/>
                    <a:stretch>
                      <a:fillRect/>
                    </a:stretch>
                  </pic:blipFill>
                  <pic:spPr bwMode="auto">
                    <a:xfrm>
                      <a:off x="0" y="0"/>
                      <a:ext cx="6438900" cy="28575"/>
                    </a:xfrm>
                    <a:prstGeom prst="rect">
                      <a:avLst/>
                    </a:prstGeom>
                    <a:noFill/>
                  </pic:spPr>
                </pic:pic>
              </a:graphicData>
            </a:graphic>
          </wp:anchor>
        </w:drawing>
      </w:r>
    </w:p>
    <w:p>
      <w:pPr>
        <w:sectPr>
          <w:pgSz w:w="11920" w:h="16850" w:orient="portrait"/>
          <w:cols w:equalWidth="0" w:num="1">
            <w:col w:w="10400"/>
          </w:cols>
          <w:pgMar w:left="1000" w:top="376" w:right="511" w:bottom="0" w:gutter="0" w:footer="0" w:header="0"/>
        </w:sectPr>
      </w:pPr>
    </w:p>
    <w:p>
      <w:pPr>
        <w:spacing w:after="0" w:line="2" w:lineRule="exact"/>
        <w:rPr>
          <w:sz w:val="20"/>
          <w:szCs w:val="20"/>
          <w:color w:val="auto"/>
        </w:rPr>
      </w:pPr>
    </w:p>
    <w:p>
      <w:pPr>
        <w:jc w:val="center"/>
        <w:ind w:right="6760"/>
        <w:spacing w:after="0"/>
        <w:rPr>
          <w:sz w:val="20"/>
          <w:szCs w:val="20"/>
          <w:color w:val="auto"/>
        </w:rPr>
      </w:pPr>
      <w:r>
        <w:rPr>
          <w:rFonts w:ascii="Times New Roman" w:cs="Times New Roman" w:eastAsia="Times New Roman" w:hAnsi="Times New Roman"/>
          <w:sz w:val="15"/>
          <w:szCs w:val="15"/>
          <w:b w:val="1"/>
          <w:bCs w:val="1"/>
          <w:color w:val="999999"/>
        </w:rPr>
        <w:t>Титуляр: „БН-КОНСУЛТ-ИНЖЕНИРИНГ” ООД</w:t>
      </w:r>
    </w:p>
    <w:p>
      <w:pPr>
        <w:spacing w:after="0" w:line="12" w:lineRule="exact"/>
        <w:rPr>
          <w:sz w:val="20"/>
          <w:szCs w:val="20"/>
          <w:color w:val="auto"/>
        </w:rPr>
      </w:pPr>
    </w:p>
    <w:p>
      <w:pPr>
        <w:jc w:val="center"/>
        <w:ind w:right="6880"/>
        <w:spacing w:after="0"/>
        <w:rPr>
          <w:sz w:val="20"/>
          <w:szCs w:val="20"/>
          <w:color w:val="auto"/>
        </w:rPr>
      </w:pPr>
      <w:r>
        <w:rPr>
          <w:rFonts w:ascii="Times New Roman" w:cs="Times New Roman" w:eastAsia="Times New Roman" w:hAnsi="Times New Roman"/>
          <w:sz w:val="16"/>
          <w:szCs w:val="16"/>
          <w:b w:val="1"/>
          <w:bCs w:val="1"/>
          <w:color w:val="999999"/>
        </w:rPr>
        <w:t>гр. София</w:t>
      </w:r>
    </w:p>
    <w:p>
      <w:pPr>
        <w:sectPr>
          <w:pgSz w:w="11920" w:h="16850" w:orient="portrait"/>
          <w:cols w:equalWidth="0" w:num="1">
            <w:col w:w="10400"/>
          </w:cols>
          <w:pgMar w:left="1000" w:top="376" w:right="511" w:bottom="0" w:gutter="0" w:footer="0" w:header="0"/>
          <w:type w:val="continuous"/>
        </w:sectPr>
      </w:pPr>
    </w:p>
    <w:p>
      <w:pPr>
        <w:jc w:val="both"/>
        <w:ind w:left="9" w:right="60"/>
        <w:spacing w:after="0" w:line="255" w:lineRule="auto"/>
        <w:rPr>
          <w:sz w:val="20"/>
          <w:szCs w:val="20"/>
          <w:color w:val="auto"/>
        </w:rPr>
      </w:pPr>
      <w:r>
        <w:rPr>
          <w:rFonts w:ascii="Times New Roman" w:cs="Times New Roman" w:eastAsia="Times New Roman" w:hAnsi="Times New Roman"/>
          <w:sz w:val="20"/>
          <w:szCs w:val="20"/>
          <w:b w:val="1"/>
          <w:bCs w:val="1"/>
          <w:color w:val="auto"/>
        </w:rPr>
        <w:t xml:space="preserve">ПРЕДЛОЖЕНИЕ ЗА УПРАВЛЕНИЕ НА МИННИТЕ ОТПАДЪЦИ при осъществяване на инвестиционно предложение: „Добив на подземни богатства – индустриални минерали - глауконитови пясъчници от находище </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b w:val="1"/>
          <w:bCs w:val="1"/>
          <w:color w:val="auto"/>
        </w:rPr>
        <w:t>ГЛОРИЯ</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b w:val="1"/>
          <w:bCs w:val="1"/>
          <w:color w:val="auto"/>
        </w:rPr>
        <w:t>,</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разположено в землищата на с.</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Мало Пещене и с.</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Голямо Пещене,</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община Враца,</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област Враца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-6350</wp:posOffset>
            </wp:positionH>
            <wp:positionV relativeFrom="paragraph">
              <wp:posOffset>11430</wp:posOffset>
            </wp:positionV>
            <wp:extent cx="6553200" cy="264160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
                      <a:extLst>
                        <a:ext uri="{28A0092B-C50C-407E-A947-70E740481C1C}"/>
                      </a:extLst>
                    </a:blip>
                    <a:srcRect/>
                    <a:stretch>
                      <a:fillRect/>
                    </a:stretch>
                  </pic:blipFill>
                  <pic:spPr bwMode="auto">
                    <a:xfrm>
                      <a:off x="0" y="0"/>
                      <a:ext cx="6553200" cy="26416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3" w:lineRule="exact"/>
        <w:rPr>
          <w:sz w:val="20"/>
          <w:szCs w:val="20"/>
          <w:color w:val="auto"/>
        </w:rPr>
      </w:pPr>
    </w:p>
    <w:p>
      <w:pPr>
        <w:jc w:val="center"/>
        <w:ind w:right="-508"/>
        <w:spacing w:after="0"/>
        <w:rPr>
          <w:sz w:val="20"/>
          <w:szCs w:val="20"/>
          <w:color w:val="auto"/>
        </w:rPr>
      </w:pPr>
      <w:r>
        <w:rPr>
          <w:rFonts w:ascii="Times New Roman" w:cs="Times New Roman" w:eastAsia="Times New Roman" w:hAnsi="Times New Roman"/>
          <w:sz w:val="24"/>
          <w:szCs w:val="24"/>
          <w:b w:val="1"/>
          <w:bCs w:val="1"/>
          <w:color w:val="auto"/>
        </w:rPr>
        <w:t xml:space="preserve">Фиг. 3. </w:t>
      </w:r>
      <w:r>
        <w:rPr>
          <w:rFonts w:ascii="Times New Roman" w:cs="Times New Roman" w:eastAsia="Times New Roman" w:hAnsi="Times New Roman"/>
          <w:sz w:val="24"/>
          <w:szCs w:val="24"/>
          <w:color w:val="auto"/>
        </w:rPr>
        <w:t>Сеизмично райониране на Р. България</w:t>
      </w:r>
    </w:p>
    <w:p>
      <w:pPr>
        <w:spacing w:after="0" w:line="123" w:lineRule="exact"/>
        <w:rPr>
          <w:sz w:val="20"/>
          <w:szCs w:val="20"/>
          <w:color w:val="auto"/>
        </w:rPr>
      </w:pPr>
    </w:p>
    <w:p>
      <w:pPr>
        <w:ind w:left="1029" w:right="60" w:hanging="453"/>
        <w:spacing w:after="0"/>
        <w:tabs>
          <w:tab w:leader="none" w:pos="1008" w:val="left"/>
        </w:tabs>
        <w:rPr>
          <w:sz w:val="20"/>
          <w:szCs w:val="20"/>
          <w:color w:val="auto"/>
        </w:rPr>
      </w:pPr>
      <w:r>
        <w:rPr>
          <w:rFonts w:ascii="Times New Roman" w:cs="Times New Roman" w:eastAsia="Times New Roman" w:hAnsi="Times New Roman"/>
          <w:sz w:val="24"/>
          <w:szCs w:val="24"/>
          <w:b w:val="1"/>
          <w:bCs w:val="1"/>
          <w:i w:val="1"/>
          <w:iCs w:val="1"/>
          <w:color w:val="auto"/>
        </w:rPr>
        <w:t>4.3</w:t>
      </w:r>
      <w:r>
        <w:rPr>
          <w:sz w:val="20"/>
          <w:szCs w:val="20"/>
          <w:color w:val="auto"/>
        </w:rPr>
        <w:tab/>
      </w:r>
      <w:r>
        <w:rPr>
          <w:rFonts w:ascii="Times New Roman" w:cs="Times New Roman" w:eastAsia="Times New Roman" w:hAnsi="Times New Roman"/>
          <w:sz w:val="24"/>
          <w:szCs w:val="24"/>
          <w:b w:val="1"/>
          <w:bCs w:val="1"/>
          <w:i w:val="1"/>
          <w:iCs w:val="1"/>
          <w:color w:val="auto"/>
        </w:rPr>
        <w:t>Наличие на подземни и надземни комуникации, водни обекти, санитарно-охранителни зони, сгради и други в района на съоръжението за минни отпадъци</w:t>
      </w:r>
    </w:p>
    <w:p>
      <w:pPr>
        <w:spacing w:after="0" w:line="1" w:lineRule="exact"/>
        <w:rPr>
          <w:sz w:val="20"/>
          <w:szCs w:val="20"/>
          <w:color w:val="auto"/>
        </w:rPr>
      </w:pPr>
    </w:p>
    <w:p>
      <w:pPr>
        <w:jc w:val="both"/>
        <w:ind w:left="9" w:right="60" w:firstLine="566"/>
        <w:spacing w:after="0"/>
        <w:rPr>
          <w:sz w:val="20"/>
          <w:szCs w:val="20"/>
          <w:color w:val="auto"/>
        </w:rPr>
      </w:pPr>
      <w:r>
        <w:rPr>
          <w:rFonts w:ascii="Times New Roman" w:cs="Times New Roman" w:eastAsia="Times New Roman" w:hAnsi="Times New Roman"/>
          <w:sz w:val="24"/>
          <w:szCs w:val="24"/>
          <w:color w:val="auto"/>
        </w:rPr>
        <w:t>Връзката на находище „Глория с републиканската пътна мрежа се предвижда да се осъществи посредством съществуващ черен горски път, прокаран за обсужване на земеделските имоти в района от концесионната площ до южните покрайнини на с. Мало Пещене с дължина около 2,5 km,</w:t>
      </w:r>
    </w:p>
    <w:p>
      <w:pPr>
        <w:ind w:left="9" w:right="60" w:hanging="9"/>
        <w:spacing w:after="0"/>
        <w:tabs>
          <w:tab w:leader="none" w:pos="225" w:val="left"/>
        </w:tabs>
        <w:numPr>
          <w:ilvl w:val="0"/>
          <w:numId w:val="21"/>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от там по третокласния асфалтов общински път, свързващ с. Мало Пещене със с. Баница до трасето на второкласния републикански път, свързващ гр. Враца с гр. Борован.</w:t>
      </w:r>
    </w:p>
    <w:p>
      <w:pPr>
        <w:ind w:left="569"/>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Юг-югозападно от площта преминава р. Скът, приток на р. Огоста.</w:t>
      </w:r>
    </w:p>
    <w:p>
      <w:pPr>
        <w:ind w:left="9" w:right="60" w:firstLine="566"/>
        <w:spacing w:after="0" w:line="250" w:lineRule="auto"/>
        <w:rPr>
          <w:rFonts w:ascii="Times New Roman" w:cs="Times New Roman" w:eastAsia="Times New Roman" w:hAnsi="Times New Roman"/>
          <w:sz w:val="24"/>
          <w:szCs w:val="24"/>
          <w:color w:val="auto"/>
        </w:rPr>
      </w:pPr>
      <w:r>
        <w:rPr>
          <w:rFonts w:ascii="Times New Roman" w:cs="Times New Roman" w:eastAsia="Times New Roman" w:hAnsi="Times New Roman"/>
          <w:sz w:val="23"/>
          <w:szCs w:val="23"/>
          <w:color w:val="auto"/>
        </w:rPr>
        <w:t>Находище „Глория” не попада в чувствителни, уязвими и защитени зони, както и в санитарно– охранителни зони, определени в съответствие с изискванията на Наредба № 3/16.10.2000 г.</w:t>
      </w:r>
    </w:p>
    <w:p>
      <w:pPr>
        <w:spacing w:after="0" w:line="1" w:lineRule="exact"/>
        <w:rPr>
          <w:rFonts w:ascii="Times New Roman" w:cs="Times New Roman" w:eastAsia="Times New Roman" w:hAnsi="Times New Roman"/>
          <w:sz w:val="24"/>
          <w:szCs w:val="24"/>
          <w:color w:val="auto"/>
        </w:rPr>
      </w:pPr>
    </w:p>
    <w:p>
      <w:pPr>
        <w:ind w:left="9" w:right="60" w:firstLine="566"/>
        <w:spacing w:after="0" w:line="272"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Находището не попада в резервати, зони, територии и площи със специален статут на ползване и управление.</w:t>
      </w:r>
    </w:p>
    <w:p>
      <w:pPr>
        <w:spacing w:after="0" w:line="42" w:lineRule="exact"/>
        <w:rPr>
          <w:sz w:val="20"/>
          <w:szCs w:val="20"/>
          <w:color w:val="auto"/>
        </w:rPr>
      </w:pPr>
    </w:p>
    <w:p>
      <w:pPr>
        <w:ind w:left="569"/>
        <w:spacing w:after="0"/>
        <w:rPr>
          <w:sz w:val="20"/>
          <w:szCs w:val="20"/>
          <w:color w:val="auto"/>
        </w:rPr>
      </w:pPr>
      <w:r>
        <w:rPr>
          <w:rFonts w:ascii="Times New Roman" w:cs="Times New Roman" w:eastAsia="Times New Roman" w:hAnsi="Times New Roman"/>
          <w:sz w:val="24"/>
          <w:szCs w:val="24"/>
          <w:b w:val="1"/>
          <w:bCs w:val="1"/>
          <w:i w:val="1"/>
          <w:iCs w:val="1"/>
          <w:color w:val="auto"/>
        </w:rPr>
        <w:t>4.4 Защитени територии и защитени зони</w:t>
      </w:r>
    </w:p>
    <w:p>
      <w:pPr>
        <w:jc w:val="both"/>
        <w:ind w:left="9" w:right="60" w:firstLine="566"/>
        <w:spacing w:after="0" w:line="241" w:lineRule="auto"/>
        <w:rPr>
          <w:sz w:val="20"/>
          <w:szCs w:val="20"/>
          <w:color w:val="auto"/>
        </w:rPr>
      </w:pPr>
      <w:r>
        <w:rPr>
          <w:rFonts w:ascii="Times New Roman" w:cs="Times New Roman" w:eastAsia="Times New Roman" w:hAnsi="Times New Roman"/>
          <w:sz w:val="24"/>
          <w:szCs w:val="24"/>
          <w:color w:val="auto"/>
        </w:rPr>
        <w:t xml:space="preserve">Инвестиционното предложение </w:t>
      </w:r>
      <w:r>
        <w:rPr>
          <w:rFonts w:ascii="Times New Roman" w:cs="Times New Roman" w:eastAsia="Times New Roman" w:hAnsi="Times New Roman"/>
          <w:sz w:val="24"/>
          <w:szCs w:val="24"/>
          <w:b w:val="1"/>
          <w:bCs w:val="1"/>
          <w:color w:val="auto"/>
        </w:rPr>
        <w:t>не засяга</w:t>
      </w:r>
      <w:r>
        <w:rPr>
          <w:rFonts w:ascii="Times New Roman" w:cs="Times New Roman" w:eastAsia="Times New Roman" w:hAnsi="Times New Roman"/>
          <w:sz w:val="24"/>
          <w:szCs w:val="24"/>
          <w:color w:val="auto"/>
        </w:rPr>
        <w:t xml:space="preserve"> защитени територии по смисъла на Закона за защитените територии (ЗЗТ), и не попада в границите на защитени зони по смисъла на Закона за биологичното разнообразие (ЗБР).</w:t>
      </w:r>
    </w:p>
    <w:p>
      <w:pPr>
        <w:spacing w:after="0" w:line="1" w:lineRule="exact"/>
        <w:rPr>
          <w:sz w:val="20"/>
          <w:szCs w:val="20"/>
          <w:color w:val="auto"/>
        </w:rPr>
      </w:pPr>
    </w:p>
    <w:p>
      <w:pPr>
        <w:jc w:val="both"/>
        <w:ind w:left="9" w:right="60" w:firstLine="566"/>
        <w:spacing w:after="0"/>
        <w:rPr>
          <w:sz w:val="20"/>
          <w:szCs w:val="20"/>
          <w:color w:val="auto"/>
        </w:rPr>
      </w:pPr>
      <w:r>
        <w:rPr>
          <w:rFonts w:ascii="Times New Roman" w:cs="Times New Roman" w:eastAsia="Times New Roman" w:hAnsi="Times New Roman"/>
          <w:sz w:val="24"/>
          <w:szCs w:val="24"/>
          <w:color w:val="auto"/>
        </w:rPr>
        <w:t>Най-близко разположената защитена зона, на 11 км от концесионната площ е BG0000601 „Каленска пещера” за опазване на природните местообитания и дивата флора и фауна, включена в списъка със защитени зони с Решение №122/02.03.2007г на Министерски съвет (ДВ, бр. 21/2007г.).</w:t>
      </w:r>
    </w:p>
    <w:p>
      <w:pPr>
        <w:jc w:val="both"/>
        <w:ind w:left="9" w:right="60" w:firstLine="626"/>
        <w:spacing w:after="0" w:line="248" w:lineRule="auto"/>
        <w:rPr>
          <w:sz w:val="20"/>
          <w:szCs w:val="20"/>
          <w:color w:val="auto"/>
        </w:rPr>
      </w:pPr>
      <w:r>
        <w:rPr>
          <w:rFonts w:ascii="Times New Roman" w:cs="Times New Roman" w:eastAsia="Times New Roman" w:hAnsi="Times New Roman"/>
          <w:sz w:val="24"/>
          <w:szCs w:val="24"/>
          <w:color w:val="auto"/>
        </w:rPr>
        <w:t xml:space="preserve">На основание чл.39, ал.3 от Наредбата за ОС, въз основа на критериите по чл.16 от нея, е направена преценка за вероятната степен на отрицателно въздействие, според която инвестиционното предложение </w:t>
      </w:r>
      <w:r>
        <w:rPr>
          <w:rFonts w:ascii="Times New Roman" w:cs="Times New Roman" w:eastAsia="Times New Roman" w:hAnsi="Times New Roman"/>
          <w:sz w:val="24"/>
          <w:szCs w:val="24"/>
          <w:b w:val="1"/>
          <w:bCs w:val="1"/>
          <w:color w:val="auto"/>
        </w:rPr>
        <w:t>няма вероятност да окаже значително отрицателно въздействие</w:t>
      </w:r>
      <w:r>
        <w:rPr>
          <w:rFonts w:ascii="Times New Roman" w:cs="Times New Roman" w:eastAsia="Times New Roman" w:hAnsi="Times New Roman"/>
          <w:sz w:val="24"/>
          <w:szCs w:val="24"/>
          <w:color w:val="auto"/>
        </w:rPr>
        <w:t xml:space="preserve"> върху природни местообитания, популации и местообитания на видове, предмет на опазване в защитена зона BG0000601 „Каленска пещера”.</w:t>
      </w:r>
    </w:p>
    <w:p>
      <w:pPr>
        <w:spacing w:after="0" w:line="73" w:lineRule="exact"/>
        <w:rPr>
          <w:sz w:val="20"/>
          <w:szCs w:val="20"/>
          <w:color w:val="auto"/>
        </w:rPr>
      </w:pPr>
    </w:p>
    <w:p>
      <w:pPr>
        <w:ind w:left="569"/>
        <w:spacing w:after="0"/>
        <w:rPr>
          <w:sz w:val="20"/>
          <w:szCs w:val="20"/>
          <w:color w:val="auto"/>
        </w:rPr>
      </w:pPr>
      <w:r>
        <w:rPr>
          <w:rFonts w:ascii="Times New Roman" w:cs="Times New Roman" w:eastAsia="Times New Roman" w:hAnsi="Times New Roman"/>
          <w:sz w:val="24"/>
          <w:szCs w:val="24"/>
          <w:b w:val="1"/>
          <w:bCs w:val="1"/>
          <w:i w:val="1"/>
          <w:iCs w:val="1"/>
          <w:color w:val="auto"/>
        </w:rPr>
        <w:t>4.5 Вид и категория на съоръжението за минни отпадъци</w:t>
      </w:r>
    </w:p>
    <w:p>
      <w:pPr>
        <w:spacing w:after="0" w:line="1" w:lineRule="exact"/>
        <w:rPr>
          <w:sz w:val="20"/>
          <w:szCs w:val="20"/>
          <w:color w:val="auto"/>
        </w:rPr>
      </w:pPr>
    </w:p>
    <w:p>
      <w:pPr>
        <w:jc w:val="both"/>
        <w:ind w:left="9" w:right="60" w:firstLine="566"/>
        <w:spacing w:after="0"/>
        <w:rPr>
          <w:sz w:val="20"/>
          <w:szCs w:val="20"/>
          <w:color w:val="auto"/>
        </w:rPr>
      </w:pPr>
      <w:r>
        <w:rPr>
          <w:rFonts w:ascii="Times New Roman" w:cs="Times New Roman" w:eastAsia="Times New Roman" w:hAnsi="Times New Roman"/>
          <w:sz w:val="24"/>
          <w:szCs w:val="24"/>
          <w:color w:val="auto"/>
        </w:rPr>
        <w:t>Съгласно ЗПБ минните отпадъци се депонират и съхраняват на определени за целта площадки или депа, наричани съоръжения за минни отпадъци, чието местоположение, конструкция и управление предотвратяват или максимално намаляват отрицателното им въздействие върху компонентите на околната среда и човешкото здраве, без да причиняват безпокойство чрез шум или миризми и без да влияят отрицателно на места от особен интерес.</w:t>
      </w:r>
    </w:p>
    <w:p>
      <w:pPr>
        <w:jc w:val="both"/>
        <w:ind w:left="9" w:right="60" w:firstLine="566"/>
        <w:spacing w:after="0"/>
        <w:rPr>
          <w:sz w:val="20"/>
          <w:szCs w:val="20"/>
          <w:color w:val="auto"/>
        </w:rPr>
      </w:pPr>
      <w:r>
        <w:rPr>
          <w:rFonts w:ascii="Times New Roman" w:cs="Times New Roman" w:eastAsia="Times New Roman" w:hAnsi="Times New Roman"/>
          <w:sz w:val="24"/>
          <w:szCs w:val="24"/>
          <w:color w:val="auto"/>
        </w:rPr>
        <w:t>Съгласно чл. 16, ал. 1, от Наредбата съоръжение за минни отпадъци е всяко пространство – насипище, хвостохранилище или друго, предназначено за събиране или депониране на минни отпадъци в твърда или в течна фаза, разтвор или суспензия, за следния период:</w:t>
      </w:r>
    </w:p>
    <w:p>
      <w:pPr>
        <w:jc w:val="both"/>
        <w:ind w:left="9" w:right="60" w:firstLine="566"/>
        <w:spacing w:after="0"/>
        <w:rPr>
          <w:sz w:val="20"/>
          <w:szCs w:val="20"/>
          <w:color w:val="auto"/>
        </w:rPr>
      </w:pPr>
      <w:r>
        <w:rPr>
          <w:rFonts w:ascii="Times New Roman" w:cs="Times New Roman" w:eastAsia="Times New Roman" w:hAnsi="Times New Roman"/>
          <w:sz w:val="24"/>
          <w:szCs w:val="24"/>
          <w:color w:val="auto"/>
        </w:rPr>
        <w:t>1.неограничен - за съоръжения от категория "А" и за съоръжения за отпадъци, охарактеризирани като опасни в плана за управление на отпадъците;</w:t>
      </w:r>
    </w:p>
    <w:p>
      <w:pPr>
        <w:jc w:val="center"/>
        <w:ind w:right="11"/>
        <w:spacing w:after="0"/>
        <w:rPr>
          <w:sz w:val="20"/>
          <w:szCs w:val="20"/>
          <w:color w:val="auto"/>
        </w:rPr>
      </w:pPr>
      <w:r>
        <w:rPr>
          <w:rFonts w:ascii="Times New Roman" w:cs="Times New Roman" w:eastAsia="Times New Roman" w:hAnsi="Times New Roman"/>
          <w:sz w:val="24"/>
          <w:szCs w:val="24"/>
          <w:color w:val="auto"/>
        </w:rPr>
        <w:t>2. над шест месеца - за съоръжения за опасни минни отпадъци, генерирани непредвидено;</w:t>
      </w:r>
    </w:p>
    <w:p>
      <w:pPr>
        <w:spacing w:after="0" w:line="15"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0"/>
          <w:szCs w:val="20"/>
          <w:color w:val="auto"/>
        </w:rPr>
        <w:t>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-60325</wp:posOffset>
            </wp:positionV>
            <wp:extent cx="6438900" cy="2857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
                      <a:extLst>
                        <a:ext uri="{28A0092B-C50C-407E-A947-70E740481C1C}"/>
                      </a:extLst>
                    </a:blip>
                    <a:srcRect/>
                    <a:stretch>
                      <a:fillRect/>
                    </a:stretch>
                  </pic:blipFill>
                  <pic:spPr bwMode="auto">
                    <a:xfrm>
                      <a:off x="0" y="0"/>
                      <a:ext cx="6438900" cy="28575"/>
                    </a:xfrm>
                    <a:prstGeom prst="rect">
                      <a:avLst/>
                    </a:prstGeom>
                    <a:noFill/>
                  </pic:spPr>
                </pic:pic>
              </a:graphicData>
            </a:graphic>
          </wp:anchor>
        </w:drawing>
      </w:r>
    </w:p>
    <w:p>
      <w:pPr>
        <w:sectPr>
          <w:pgSz w:w="11920" w:h="16850" w:orient="portrait"/>
          <w:cols w:equalWidth="0" w:num="1">
            <w:col w:w="10409"/>
          </w:cols>
          <w:pgMar w:left="991" w:top="376" w:right="511" w:bottom="0" w:gutter="0" w:footer="0" w:header="0"/>
        </w:sectPr>
      </w:pPr>
    </w:p>
    <w:p>
      <w:pPr>
        <w:spacing w:after="0" w:line="2" w:lineRule="exact"/>
        <w:rPr>
          <w:sz w:val="20"/>
          <w:szCs w:val="20"/>
          <w:color w:val="auto"/>
        </w:rPr>
      </w:pPr>
    </w:p>
    <w:p>
      <w:pPr>
        <w:jc w:val="center"/>
        <w:ind w:right="6751"/>
        <w:spacing w:after="0"/>
        <w:rPr>
          <w:sz w:val="20"/>
          <w:szCs w:val="20"/>
          <w:color w:val="auto"/>
        </w:rPr>
      </w:pPr>
      <w:r>
        <w:rPr>
          <w:rFonts w:ascii="Times New Roman" w:cs="Times New Roman" w:eastAsia="Times New Roman" w:hAnsi="Times New Roman"/>
          <w:sz w:val="15"/>
          <w:szCs w:val="15"/>
          <w:b w:val="1"/>
          <w:bCs w:val="1"/>
          <w:color w:val="999999"/>
        </w:rPr>
        <w:t>Титуляр: „БН-КОНСУЛТ-ИНЖЕНИРИНГ” ООД</w:t>
      </w:r>
    </w:p>
    <w:p>
      <w:pPr>
        <w:spacing w:after="0" w:line="12" w:lineRule="exact"/>
        <w:rPr>
          <w:sz w:val="20"/>
          <w:szCs w:val="20"/>
          <w:color w:val="auto"/>
        </w:rPr>
      </w:pPr>
    </w:p>
    <w:p>
      <w:pPr>
        <w:jc w:val="center"/>
        <w:ind w:right="6871"/>
        <w:spacing w:after="0"/>
        <w:rPr>
          <w:sz w:val="20"/>
          <w:szCs w:val="20"/>
          <w:color w:val="auto"/>
        </w:rPr>
      </w:pPr>
      <w:r>
        <w:rPr>
          <w:rFonts w:ascii="Times New Roman" w:cs="Times New Roman" w:eastAsia="Times New Roman" w:hAnsi="Times New Roman"/>
          <w:sz w:val="16"/>
          <w:szCs w:val="16"/>
          <w:b w:val="1"/>
          <w:bCs w:val="1"/>
          <w:color w:val="999999"/>
        </w:rPr>
        <w:t>гр. София</w:t>
      </w:r>
    </w:p>
    <w:p>
      <w:pPr>
        <w:sectPr>
          <w:pgSz w:w="11920" w:h="16850" w:orient="portrait"/>
          <w:cols w:equalWidth="0" w:num="1">
            <w:col w:w="10409"/>
          </w:cols>
          <w:pgMar w:left="991" w:top="376" w:right="511" w:bottom="0" w:gutter="0" w:footer="0" w:header="0"/>
          <w:type w:val="continuous"/>
        </w:sectPr>
      </w:pPr>
    </w:p>
    <w:p>
      <w:pPr>
        <w:jc w:val="both"/>
        <w:ind w:left="9" w:right="60"/>
        <w:spacing w:after="0" w:line="255" w:lineRule="auto"/>
        <w:rPr>
          <w:sz w:val="20"/>
          <w:szCs w:val="20"/>
          <w:color w:val="auto"/>
        </w:rPr>
      </w:pPr>
      <w:r>
        <w:rPr>
          <w:rFonts w:ascii="Times New Roman" w:cs="Times New Roman" w:eastAsia="Times New Roman" w:hAnsi="Times New Roman"/>
          <w:sz w:val="20"/>
          <w:szCs w:val="20"/>
          <w:b w:val="1"/>
          <w:bCs w:val="1"/>
          <w:color w:val="auto"/>
        </w:rPr>
        <w:t xml:space="preserve">ПРЕДЛОЖЕНИЕ ЗА УПРАВЛЕНИЕ НА МИННИТЕ ОТПАДЪЦИ при осъществяване на инвестиционно предложение: „Добив на подземни богатства – индустриални минерали - глауконитови пясъчници от находище </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b w:val="1"/>
          <w:bCs w:val="1"/>
          <w:color w:val="auto"/>
        </w:rPr>
        <w:t>ГЛОРИЯ</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b w:val="1"/>
          <w:bCs w:val="1"/>
          <w:color w:val="auto"/>
        </w:rPr>
        <w:t>,</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разположено в землищата на с.</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Мало Пещене и с.</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Голямо Пещене,</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община Враца,</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област Враца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-6985</wp:posOffset>
                </wp:positionH>
                <wp:positionV relativeFrom="paragraph">
                  <wp:posOffset>15875</wp:posOffset>
                </wp:positionV>
                <wp:extent cx="6552565" cy="0"/>
                <wp:wrapNone/>
                <wp:docPr id="50" name="Shape 5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52565" cy="4763"/>
                        </a:xfrm>
                        <a:prstGeom prst="line">
                          <a:avLst/>
                        </a:prstGeom>
                        <a:solidFill>
                          <a:srgbClr val="FFFFFF"/>
                        </a:solidFill>
                        <a:ln w="9525">
                          <a:solidFill>
                            <a:srgbClr val="969696"/>
                          </a:solidFill>
                          <a:miter lim="800000"/>
                          <a:headEnd/>
                          <a:tailEnd/>
                        </a:ln>
                      </wps:spPr>
                      <wps:bodyPr/>
                    </wps:wsp>
                  </a:graphicData>
                </a:graphic>
              </wp:anchor>
            </w:drawing>
          </mc:Choice>
          <mc:Fallback>
            <w:pict>
              <v:line id="Shape 50" o:spid="_x0000_s107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499pt,1.25pt" to="515.4pt,1.25pt" o:allowincell="f" strokecolor="#969696" strokeweight="0.75pt"/>
            </w:pict>
          </mc:Fallback>
        </mc:AlternateContent>
      </w:r>
    </w:p>
    <w:p>
      <w:pPr>
        <w:spacing w:after="0" w:line="154" w:lineRule="exact"/>
        <w:rPr>
          <w:sz w:val="20"/>
          <w:szCs w:val="20"/>
          <w:color w:val="auto"/>
        </w:rPr>
      </w:pPr>
    </w:p>
    <w:p>
      <w:pPr>
        <w:ind w:left="809" w:hanging="242"/>
        <w:spacing w:after="0"/>
        <w:tabs>
          <w:tab w:leader="none" w:pos="809" w:val="left"/>
        </w:tabs>
        <w:numPr>
          <w:ilvl w:val="0"/>
          <w:numId w:val="22"/>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над една година - за съоръжения за неопасни неинертни отпадъци;</w:t>
      </w:r>
    </w:p>
    <w:p>
      <w:pPr>
        <w:jc w:val="both"/>
        <w:ind w:left="9" w:right="60" w:firstLine="558"/>
        <w:spacing w:after="0"/>
        <w:tabs>
          <w:tab w:leader="none" w:pos="909" w:val="left"/>
        </w:tabs>
        <w:numPr>
          <w:ilvl w:val="0"/>
          <w:numId w:val="22"/>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i w:val="1"/>
          <w:iCs w:val="1"/>
          <w:color w:val="auto"/>
        </w:rPr>
        <w:t>над три години - за съоръжения за незамърсени почви, неопасни отпадъци от проучване, инертни отпадъци и отпадъци, получени при добив, преработка и съхранение на торф.</w:t>
      </w:r>
    </w:p>
    <w:p>
      <w:pPr>
        <w:spacing w:after="0" w:line="1" w:lineRule="exact"/>
        <w:rPr>
          <w:rFonts w:ascii="Times New Roman" w:cs="Times New Roman" w:eastAsia="Times New Roman" w:hAnsi="Times New Roman"/>
          <w:sz w:val="24"/>
          <w:szCs w:val="24"/>
          <w:b w:val="1"/>
          <w:bCs w:val="1"/>
          <w:color w:val="auto"/>
        </w:rPr>
      </w:pPr>
    </w:p>
    <w:p>
      <w:pPr>
        <w:jc w:val="both"/>
        <w:ind w:left="9" w:right="60" w:firstLine="566"/>
        <w:spacing w:after="0" w:line="239" w:lineRule="auto"/>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color w:val="auto"/>
        </w:rPr>
        <w:t>Според горе изложените критерии, при съхраняването на „незамърсени почви, инертни отпадъци и отпадъци, получени при добив“ за период над три години, насипището представлява</w:t>
      </w:r>
    </w:p>
    <w:p>
      <w:pPr>
        <w:spacing w:after="0" w:line="1" w:lineRule="exact"/>
        <w:rPr>
          <w:rFonts w:ascii="Times New Roman" w:cs="Times New Roman" w:eastAsia="Times New Roman" w:hAnsi="Times New Roman"/>
          <w:sz w:val="24"/>
          <w:szCs w:val="24"/>
          <w:b w:val="1"/>
          <w:bCs w:val="1"/>
          <w:color w:val="auto"/>
        </w:rPr>
      </w:pPr>
    </w:p>
    <w:p>
      <w:pPr>
        <w:ind w:left="9"/>
        <w:spacing w:after="0"/>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i w:val="1"/>
          <w:iCs w:val="1"/>
          <w:color w:val="auto"/>
        </w:rPr>
        <w:t>съоръжение за съхраняване на минни отпадъци</w:t>
      </w:r>
      <w:r>
        <w:rPr>
          <w:rFonts w:ascii="Times New Roman" w:cs="Times New Roman" w:eastAsia="Times New Roman" w:hAnsi="Times New Roman"/>
          <w:sz w:val="24"/>
          <w:szCs w:val="24"/>
          <w:b w:val="1"/>
          <w:bCs w:val="1"/>
          <w:color w:val="auto"/>
        </w:rPr>
        <w:t>.</w:t>
      </w:r>
    </w:p>
    <w:p>
      <w:pPr>
        <w:spacing w:after="0" w:line="1" w:lineRule="exact"/>
        <w:rPr>
          <w:rFonts w:ascii="Times New Roman" w:cs="Times New Roman" w:eastAsia="Times New Roman" w:hAnsi="Times New Roman"/>
          <w:sz w:val="24"/>
          <w:szCs w:val="24"/>
          <w:b w:val="1"/>
          <w:bCs w:val="1"/>
          <w:color w:val="auto"/>
        </w:rPr>
      </w:pPr>
    </w:p>
    <w:p>
      <w:pPr>
        <w:ind w:left="9" w:right="60" w:firstLine="566"/>
        <w:spacing w:after="0" w:line="238" w:lineRule="auto"/>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color w:val="auto"/>
        </w:rPr>
        <w:t>Съгласно чл.22, ал. 4 от ЗПБ съоръженията се категоризират според степента на тяхната опасност и риска за околната среда и човешкото здраве, като:</w:t>
      </w:r>
    </w:p>
    <w:p>
      <w:pPr>
        <w:jc w:val="both"/>
        <w:ind w:left="9" w:right="60" w:firstLine="558"/>
        <w:spacing w:after="0"/>
        <w:tabs>
          <w:tab w:leader="none" w:pos="892" w:val="left"/>
        </w:tabs>
        <w:numPr>
          <w:ilvl w:val="0"/>
          <w:numId w:val="23"/>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color w:val="auto"/>
        </w:rPr>
        <w:t xml:space="preserve">Cъоръжения "категория А" </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съоръжения за минни отпадъци,</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които в резултат на</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непредвидени обстоятелства или лошо управление могат да станат причина за голяма авария и/или съдържат опасни отпадъци и опасни вещества или препарати над определен праг;</w:t>
      </w:r>
    </w:p>
    <w:p>
      <w:pPr>
        <w:ind w:left="809" w:hanging="242"/>
        <w:spacing w:after="0"/>
        <w:tabs>
          <w:tab w:leader="none" w:pos="809" w:val="left"/>
        </w:tabs>
        <w:numPr>
          <w:ilvl w:val="0"/>
          <w:numId w:val="23"/>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color w:val="auto"/>
        </w:rPr>
        <w:t xml:space="preserve">Cъоръжения "категория Б" </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всички останали съоръжения за минни отпадъци.</w:t>
      </w:r>
    </w:p>
    <w:p>
      <w:pPr>
        <w:spacing w:after="0" w:line="4" w:lineRule="exact"/>
        <w:rPr>
          <w:rFonts w:ascii="Times New Roman" w:cs="Times New Roman" w:eastAsia="Times New Roman" w:hAnsi="Times New Roman"/>
          <w:sz w:val="24"/>
          <w:szCs w:val="24"/>
          <w:b w:val="1"/>
          <w:bCs w:val="1"/>
          <w:color w:val="auto"/>
        </w:rPr>
      </w:pPr>
    </w:p>
    <w:p>
      <w:pPr>
        <w:jc w:val="both"/>
        <w:ind w:left="9" w:right="60" w:firstLine="566"/>
        <w:spacing w:after="0" w:line="244" w:lineRule="auto"/>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color w:val="auto"/>
        </w:rPr>
        <w:t xml:space="preserve">Въз основа на качествената характеристика и на състава на минния отпадък, включително на промените му в резултат на възможни вторични въздействия, както и на степента на стабилност на съоръжението според неговите технически характеристики </w:t>
      </w:r>
      <w:r>
        <w:rPr>
          <w:rFonts w:ascii="Times New Roman" w:cs="Times New Roman" w:eastAsia="Times New Roman" w:hAnsi="Times New Roman"/>
          <w:sz w:val="24"/>
          <w:szCs w:val="24"/>
          <w:b w:val="1"/>
          <w:bCs w:val="1"/>
          <w:color w:val="auto"/>
        </w:rPr>
        <w:t>съоръжението за минни отпадъци от</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b w:val="1"/>
          <w:bCs w:val="1"/>
          <w:color w:val="auto"/>
        </w:rPr>
        <w:t>находище „Глория” се категоризира като "категория Б"</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тъй като:</w:t>
      </w:r>
    </w:p>
    <w:p>
      <w:pPr>
        <w:ind w:left="1289" w:right="60" w:hanging="362"/>
        <w:spacing w:after="0" w:line="239" w:lineRule="auto"/>
        <w:tabs>
          <w:tab w:leader="none" w:pos="1289" w:val="left"/>
        </w:tabs>
        <w:numPr>
          <w:ilvl w:val="1"/>
          <w:numId w:val="23"/>
        </w:numPr>
        <w:rPr>
          <w:rFonts w:ascii="Symbol" w:cs="Symbol" w:eastAsia="Symbol" w:hAnsi="Symbol"/>
          <w:sz w:val="24"/>
          <w:szCs w:val="24"/>
          <w:color w:val="auto"/>
        </w:rPr>
      </w:pPr>
      <w:r>
        <w:rPr>
          <w:rFonts w:ascii="Times New Roman" w:cs="Times New Roman" w:eastAsia="Times New Roman" w:hAnsi="Times New Roman"/>
          <w:sz w:val="24"/>
          <w:szCs w:val="24"/>
          <w:color w:val="auto"/>
        </w:rPr>
        <w:t>съоръжението не съдържа потенциал за голяма авария в резултат на непредвидени обстоятелства или лошо управление;</w:t>
      </w:r>
    </w:p>
    <w:p>
      <w:pPr>
        <w:spacing w:after="0" w:line="1" w:lineRule="exact"/>
        <w:rPr>
          <w:rFonts w:ascii="Symbol" w:cs="Symbol" w:eastAsia="Symbol" w:hAnsi="Symbol"/>
          <w:sz w:val="24"/>
          <w:szCs w:val="24"/>
          <w:color w:val="auto"/>
        </w:rPr>
      </w:pPr>
    </w:p>
    <w:p>
      <w:pPr>
        <w:ind w:left="1289" w:right="60" w:hanging="362"/>
        <w:spacing w:after="0" w:line="255" w:lineRule="auto"/>
        <w:tabs>
          <w:tab w:leader="none" w:pos="1289" w:val="left"/>
        </w:tabs>
        <w:numPr>
          <w:ilvl w:val="1"/>
          <w:numId w:val="23"/>
        </w:numPr>
        <w:rPr>
          <w:rFonts w:ascii="Symbol" w:cs="Symbol" w:eastAsia="Symbol" w:hAnsi="Symbol"/>
          <w:sz w:val="24"/>
          <w:szCs w:val="24"/>
          <w:color w:val="auto"/>
        </w:rPr>
      </w:pPr>
      <w:r>
        <w:rPr>
          <w:rFonts w:ascii="Times New Roman" w:cs="Times New Roman" w:eastAsia="Times New Roman" w:hAnsi="Times New Roman"/>
          <w:sz w:val="24"/>
          <w:szCs w:val="24"/>
          <w:color w:val="auto"/>
        </w:rPr>
        <w:t>минните отпадъци, които ще се съхраняват не съдържат опасни отпадъци и опасни вещества.</w:t>
      </w:r>
    </w:p>
    <w:p>
      <w:pPr>
        <w:spacing w:after="0" w:line="215" w:lineRule="exact"/>
        <w:rPr>
          <w:rFonts w:ascii="Symbol" w:cs="Symbol" w:eastAsia="Symbol" w:hAnsi="Symbol"/>
          <w:sz w:val="24"/>
          <w:szCs w:val="24"/>
          <w:color w:val="auto"/>
        </w:rPr>
      </w:pPr>
    </w:p>
    <w:p>
      <w:pPr>
        <w:ind w:left="9" w:right="60" w:firstLine="558"/>
        <w:spacing w:after="0" w:line="278" w:lineRule="auto"/>
        <w:tabs>
          <w:tab w:leader="none" w:pos="892" w:val="left"/>
        </w:tabs>
        <w:numPr>
          <w:ilvl w:val="0"/>
          <w:numId w:val="24"/>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color w:val="auto"/>
        </w:rPr>
        <w:t>РИСКОВЕ ЗА ОКОЛНАТА СРЕДА И ЗА БЕЗОПАСНОСТТА И ЗДРАВЕТО НА ЧОВЕКА И МЕРКИ ЗА ПРЕДОТВРАТЯВАНЕТО ИМ</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-74295</wp:posOffset>
                </wp:positionH>
                <wp:positionV relativeFrom="paragraph">
                  <wp:posOffset>-406400</wp:posOffset>
                </wp:positionV>
                <wp:extent cx="6721475" cy="0"/>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72147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1" o:spid="_x0000_s107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8499pt,-32pt" to="523.4pt,-32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-74295</wp:posOffset>
                </wp:positionH>
                <wp:positionV relativeFrom="paragraph">
                  <wp:posOffset>-23495</wp:posOffset>
                </wp:positionV>
                <wp:extent cx="6721475" cy="0"/>
                <wp:wrapNone/>
                <wp:docPr id="52" name="Shape 5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721475" cy="4763"/>
                        </a:xfrm>
                        <a:prstGeom prst="line">
                          <a:avLst/>
                        </a:prstGeom>
                        <a:solidFill>
                          <a:srgbClr val="FFFFFF"/>
                        </a:solidFill>
                        <a:ln w="6108">
                          <a:solidFill>
                            <a:srgbClr val="000000"/>
                          </a:solidFill>
                          <a:miter lim="800000"/>
                          <a:headEnd/>
                          <a:tailEnd/>
                        </a:ln>
                      </wps:spPr>
                      <wps:bodyPr/>
                    </wps:wsp>
                  </a:graphicData>
                </a:graphic>
              </wp:anchor>
            </w:drawing>
          </mc:Choice>
          <mc:Fallback>
            <w:pict>
              <v:line id="Shape 52" o:spid="_x0000_s107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8499pt,-1.8499pt" to="523.4pt,-1.8499pt" o:allowincell="f" strokecolor="#000000" strokeweight="0.4809pt"/>
            </w:pict>
          </mc:Fallback>
        </mc:AlternateContent>
        <mc:AlternateContent>
          <mc:Choice Requires="wps">
            <w:drawing>
              <wp:anchor simplePos="0" relativeHeight="251657728" behindDoc="1" locked="0" layoutInCell="0" allowOverlap="1">
                <wp:simplePos x="0" y="0"/>
                <wp:positionH relativeFrom="column">
                  <wp:posOffset>-71120</wp:posOffset>
                </wp:positionH>
                <wp:positionV relativeFrom="paragraph">
                  <wp:posOffset>-409575</wp:posOffset>
                </wp:positionV>
                <wp:extent cx="0" cy="38862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88620"/>
                        </a:xfrm>
                        <a:prstGeom prst="line">
                          <a:avLst/>
                        </a:prstGeom>
                        <a:solidFill>
                          <a:srgbClr val="FFFFFF"/>
                        </a:solidFill>
                        <a:ln w="6108">
                          <a:solidFill>
                            <a:srgbClr val="000000"/>
                          </a:solidFill>
                          <a:miter lim="800000"/>
                          <a:headEnd/>
                          <a:tailEnd/>
                        </a:ln>
                      </wps:spPr>
                      <wps:bodyPr/>
                    </wps:wsp>
                  </a:graphicData>
                </a:graphic>
              </wp:anchor>
            </w:drawing>
          </mc:Choice>
          <mc:Fallback>
            <w:pict>
              <v:line id="Shape 53" o:spid="_x0000_s107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32.2499pt" to="-5.5999pt,-1.6499pt" o:allowincell="f" strokecolor="#000000" strokeweight="0.4809pt"/>
            </w:pict>
          </mc:Fallback>
        </mc:AlternateContent>
        <mc:AlternateContent>
          <mc:Choice Requires="wps">
            <w:drawing>
              <wp:anchor simplePos="0" relativeHeight="251657728" behindDoc="1" locked="0" layoutInCell="0" allowOverlap="1">
                <wp:simplePos x="0" y="0"/>
                <wp:positionH relativeFrom="column">
                  <wp:posOffset>6644640</wp:posOffset>
                </wp:positionH>
                <wp:positionV relativeFrom="paragraph">
                  <wp:posOffset>-409575</wp:posOffset>
                </wp:positionV>
                <wp:extent cx="0" cy="388620"/>
                <wp:wrapNone/>
                <wp:docPr id="54" name="Shape 5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88620"/>
                        </a:xfrm>
                        <a:prstGeom prst="line">
                          <a:avLst/>
                        </a:prstGeom>
                        <a:solidFill>
                          <a:srgbClr val="FFFFFF"/>
                        </a:solidFill>
                        <a:ln w="6108">
                          <a:solidFill>
                            <a:srgbClr val="000000"/>
                          </a:solidFill>
                          <a:miter lim="800000"/>
                          <a:headEnd/>
                          <a:tailEnd/>
                        </a:ln>
                      </wps:spPr>
                      <wps:bodyPr/>
                    </wps:wsp>
                  </a:graphicData>
                </a:graphic>
              </wp:anchor>
            </w:drawing>
          </mc:Choice>
          <mc:Fallback>
            <w:pict>
              <v:line id="Shape 54" o:spid="_x0000_s107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23.2pt,-32.2499pt" to="523.2pt,-1.6499pt" o:allowincell="f" strokecolor="#000000" strokeweight="0.4809pt"/>
            </w:pict>
          </mc:Fallback>
        </mc:AlternateContent>
      </w:r>
    </w:p>
    <w:p>
      <w:pPr>
        <w:spacing w:after="0" w:line="40" w:lineRule="exact"/>
        <w:rPr>
          <w:sz w:val="20"/>
          <w:szCs w:val="20"/>
          <w:color w:val="auto"/>
        </w:rPr>
      </w:pPr>
    </w:p>
    <w:p>
      <w:pPr>
        <w:ind w:left="569"/>
        <w:spacing w:after="0"/>
        <w:rPr>
          <w:sz w:val="20"/>
          <w:szCs w:val="20"/>
          <w:color w:val="auto"/>
        </w:rPr>
      </w:pPr>
      <w:r>
        <w:rPr>
          <w:rFonts w:ascii="Times New Roman" w:cs="Times New Roman" w:eastAsia="Times New Roman" w:hAnsi="Times New Roman"/>
          <w:sz w:val="24"/>
          <w:szCs w:val="24"/>
          <w:b w:val="1"/>
          <w:bCs w:val="1"/>
          <w:i w:val="1"/>
          <w:iCs w:val="1"/>
          <w:color w:val="auto"/>
        </w:rPr>
        <w:t>5.1 Местоположение на СМО</w:t>
      </w:r>
    </w:p>
    <w:p>
      <w:pPr>
        <w:spacing w:after="0" w:line="1" w:lineRule="exact"/>
        <w:rPr>
          <w:sz w:val="20"/>
          <w:szCs w:val="20"/>
          <w:color w:val="auto"/>
        </w:rPr>
      </w:pPr>
    </w:p>
    <w:p>
      <w:pPr>
        <w:jc w:val="both"/>
        <w:ind w:left="9" w:right="60" w:firstLine="566"/>
        <w:spacing w:after="0"/>
        <w:rPr>
          <w:sz w:val="20"/>
          <w:szCs w:val="20"/>
          <w:color w:val="auto"/>
        </w:rPr>
      </w:pPr>
      <w:r>
        <w:rPr>
          <w:rFonts w:ascii="Times New Roman" w:cs="Times New Roman" w:eastAsia="Times New Roman" w:hAnsi="Times New Roman"/>
          <w:sz w:val="24"/>
          <w:szCs w:val="24"/>
          <w:color w:val="auto"/>
        </w:rPr>
        <w:t>Почвените материали ще се депонират на изградено външно насипище в южната част на концесионната площ.</w:t>
      </w:r>
    </w:p>
    <w:p>
      <w:pPr>
        <w:jc w:val="both"/>
        <w:ind w:left="9" w:right="60" w:firstLine="566"/>
        <w:spacing w:after="0" w:line="250" w:lineRule="auto"/>
        <w:rPr>
          <w:sz w:val="20"/>
          <w:szCs w:val="20"/>
          <w:color w:val="auto"/>
        </w:rPr>
      </w:pPr>
      <w:r>
        <w:rPr>
          <w:rFonts w:ascii="Times New Roman" w:cs="Times New Roman" w:eastAsia="Times New Roman" w:hAnsi="Times New Roman"/>
          <w:sz w:val="24"/>
          <w:szCs w:val="24"/>
          <w:color w:val="auto"/>
        </w:rPr>
        <w:t>Скалната откривка от песъчлива глина в началния етап на експлоатация ще се депонира също на външно насипище в южната част, но в рамките на концесионната площ, а след освобождаване на достатъчно място вследствие на добива ще се депонира директно във вътрешни насипища в отработеното пространство.</w:t>
      </w:r>
    </w:p>
    <w:p>
      <w:pPr>
        <w:spacing w:after="0" w:line="73" w:lineRule="exact"/>
        <w:rPr>
          <w:sz w:val="20"/>
          <w:szCs w:val="20"/>
          <w:color w:val="auto"/>
        </w:rPr>
      </w:pPr>
    </w:p>
    <w:p>
      <w:pPr>
        <w:ind w:left="569"/>
        <w:spacing w:after="0"/>
        <w:rPr>
          <w:sz w:val="20"/>
          <w:szCs w:val="20"/>
          <w:color w:val="auto"/>
        </w:rPr>
      </w:pPr>
      <w:r>
        <w:rPr>
          <w:rFonts w:ascii="Times New Roman" w:cs="Times New Roman" w:eastAsia="Times New Roman" w:hAnsi="Times New Roman"/>
          <w:sz w:val="24"/>
          <w:szCs w:val="24"/>
          <w:b w:val="1"/>
          <w:bCs w:val="1"/>
          <w:i w:val="1"/>
          <w:iCs w:val="1"/>
          <w:color w:val="auto"/>
        </w:rPr>
        <w:t>5.2. Физическа стабилност на СМО</w:t>
      </w:r>
    </w:p>
    <w:p>
      <w:pPr>
        <w:spacing w:after="0" w:line="1" w:lineRule="exact"/>
        <w:rPr>
          <w:sz w:val="20"/>
          <w:szCs w:val="20"/>
          <w:color w:val="auto"/>
        </w:rPr>
      </w:pPr>
    </w:p>
    <w:p>
      <w:pPr>
        <w:jc w:val="both"/>
        <w:ind w:left="9" w:right="60" w:firstLine="566"/>
        <w:spacing w:after="0" w:line="248" w:lineRule="auto"/>
        <w:rPr>
          <w:sz w:val="20"/>
          <w:szCs w:val="20"/>
          <w:color w:val="auto"/>
        </w:rPr>
      </w:pPr>
      <w:r>
        <w:rPr>
          <w:rFonts w:ascii="Times New Roman" w:cs="Times New Roman" w:eastAsia="Times New Roman" w:hAnsi="Times New Roman"/>
          <w:sz w:val="24"/>
          <w:szCs w:val="24"/>
          <w:color w:val="auto"/>
        </w:rPr>
        <w:t>Минните отпадъци, които ще се депонират на депата за почви и скална откривка, ще съдържат почвени материали и изветрял повърхностен слой пясъчник с много малко съдържание на глауконит. При насипообразуването ще се създава една взаимна уплътняемост до достигане на устойчив ъгъл на откоса от 45°, който ще се формира при насипването. Насипището ще бъде едностъпално.</w:t>
      </w:r>
    </w:p>
    <w:p>
      <w:pPr>
        <w:spacing w:after="0" w:line="73" w:lineRule="exact"/>
        <w:rPr>
          <w:sz w:val="20"/>
          <w:szCs w:val="20"/>
          <w:color w:val="auto"/>
        </w:rPr>
      </w:pPr>
    </w:p>
    <w:p>
      <w:pPr>
        <w:ind w:left="569"/>
        <w:spacing w:after="0"/>
        <w:rPr>
          <w:sz w:val="20"/>
          <w:szCs w:val="20"/>
          <w:color w:val="auto"/>
        </w:rPr>
      </w:pPr>
      <w:r>
        <w:rPr>
          <w:rFonts w:ascii="Times New Roman" w:cs="Times New Roman" w:eastAsia="Times New Roman" w:hAnsi="Times New Roman"/>
          <w:sz w:val="24"/>
          <w:szCs w:val="24"/>
          <w:b w:val="1"/>
          <w:bCs w:val="1"/>
          <w:i w:val="1"/>
          <w:iCs w:val="1"/>
          <w:color w:val="auto"/>
        </w:rPr>
        <w:t>5.3. Опазване на почвата, въздуха и водите от замърсяване</w:t>
      </w:r>
    </w:p>
    <w:p>
      <w:pPr>
        <w:spacing w:after="0" w:line="120" w:lineRule="exact"/>
        <w:rPr>
          <w:sz w:val="20"/>
          <w:szCs w:val="20"/>
          <w:color w:val="auto"/>
        </w:rPr>
      </w:pPr>
    </w:p>
    <w:p>
      <w:pPr>
        <w:ind w:left="569"/>
        <w:spacing w:after="0"/>
        <w:rPr>
          <w:sz w:val="20"/>
          <w:szCs w:val="20"/>
          <w:color w:val="auto"/>
        </w:rPr>
      </w:pPr>
      <w:r>
        <w:rPr>
          <w:rFonts w:ascii="Times New Roman" w:cs="Times New Roman" w:eastAsia="Times New Roman" w:hAnsi="Times New Roman"/>
          <w:sz w:val="24"/>
          <w:szCs w:val="24"/>
          <w:b w:val="1"/>
          <w:bCs w:val="1"/>
          <w:i w:val="1"/>
          <w:iCs w:val="1"/>
          <w:color w:val="auto"/>
        </w:rPr>
        <w:t>5.3.1 Почви</w:t>
      </w:r>
    </w:p>
    <w:p>
      <w:pPr>
        <w:spacing w:after="0" w:line="1" w:lineRule="exact"/>
        <w:rPr>
          <w:sz w:val="20"/>
          <w:szCs w:val="20"/>
          <w:color w:val="auto"/>
        </w:rPr>
      </w:pPr>
    </w:p>
    <w:p>
      <w:pPr>
        <w:jc w:val="both"/>
        <w:ind w:left="9" w:right="60" w:firstLine="566"/>
        <w:spacing w:after="0"/>
        <w:rPr>
          <w:sz w:val="20"/>
          <w:szCs w:val="20"/>
          <w:color w:val="auto"/>
        </w:rPr>
      </w:pPr>
      <w:r>
        <w:rPr>
          <w:rFonts w:ascii="Times New Roman" w:cs="Times New Roman" w:eastAsia="Times New Roman" w:hAnsi="Times New Roman"/>
          <w:sz w:val="24"/>
          <w:szCs w:val="24"/>
          <w:color w:val="auto"/>
        </w:rPr>
        <w:t>Нарушени терени в концесионната площ, за която ще се кандидатства, ще са площта на доказаните запаси в Блок 1 (111) и площите заети от временните депа за почвен слой и откривка, санитарно-битовата площадка, терените за пътищата, в границата на необходимата площ за осъществяване на дейността по бъдещата концесията.</w:t>
      </w:r>
    </w:p>
    <w:p>
      <w:pPr>
        <w:jc w:val="both"/>
        <w:ind w:left="9" w:right="60" w:firstLine="566"/>
        <w:spacing w:after="0"/>
        <w:rPr>
          <w:sz w:val="20"/>
          <w:szCs w:val="20"/>
          <w:color w:val="auto"/>
        </w:rPr>
      </w:pPr>
      <w:r>
        <w:rPr>
          <w:rFonts w:ascii="Times New Roman" w:cs="Times New Roman" w:eastAsia="Times New Roman" w:hAnsi="Times New Roman"/>
          <w:sz w:val="24"/>
          <w:szCs w:val="24"/>
          <w:color w:val="auto"/>
        </w:rPr>
        <w:t>За почвите извън границите на концесията, въздействието при експлоатацията на находището ще е незначително, не се очаква промяна в категорията им структурата и продуктивността им.</w:t>
      </w:r>
    </w:p>
    <w:p>
      <w:pPr>
        <w:ind w:left="569"/>
        <w:spacing w:after="0"/>
        <w:rPr>
          <w:sz w:val="20"/>
          <w:szCs w:val="20"/>
          <w:color w:val="auto"/>
        </w:rPr>
      </w:pPr>
      <w:r>
        <w:rPr>
          <w:rFonts w:ascii="Times New Roman" w:cs="Times New Roman" w:eastAsia="Times New Roman" w:hAnsi="Times New Roman"/>
          <w:sz w:val="24"/>
          <w:szCs w:val="24"/>
          <w:color w:val="auto"/>
        </w:rPr>
        <w:t>Замърсени с твърди строителни и промишлени отпадъци земи на територията на концесията и</w:t>
      </w:r>
    </w:p>
    <w:p>
      <w:pPr>
        <w:jc w:val="both"/>
        <w:ind w:left="9" w:right="60" w:hanging="9"/>
        <w:spacing w:after="0" w:line="250" w:lineRule="auto"/>
        <w:tabs>
          <w:tab w:leader="none" w:pos="186" w:val="left"/>
        </w:tabs>
        <w:numPr>
          <w:ilvl w:val="0"/>
          <w:numId w:val="25"/>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граничещите непосредствено до нея земи не се очаква. Визуално ще се установява замърсяване на терена на площадката с промишлено отделения прах. Засегнатите площи са условно замърсени, тъй като фактически те съпровождат технологичния процес. Химичният и минерален състав на глауконитовите пясъчници показват, че те не могат да променят минералния състав и химичните</w:t>
      </w:r>
    </w:p>
    <w:p>
      <w:pPr>
        <w:spacing w:after="0" w:line="166"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0"/>
          <w:szCs w:val="20"/>
          <w:color w:val="auto"/>
        </w:rPr>
        <w:t>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-60325</wp:posOffset>
            </wp:positionV>
            <wp:extent cx="6438900" cy="2857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8">
                      <a:extLst>
                        <a:ext uri="{28A0092B-C50C-407E-A947-70E740481C1C}"/>
                      </a:extLst>
                    </a:blip>
                    <a:srcRect/>
                    <a:stretch>
                      <a:fillRect/>
                    </a:stretch>
                  </pic:blipFill>
                  <pic:spPr bwMode="auto">
                    <a:xfrm>
                      <a:off x="0" y="0"/>
                      <a:ext cx="6438900" cy="28575"/>
                    </a:xfrm>
                    <a:prstGeom prst="rect">
                      <a:avLst/>
                    </a:prstGeom>
                    <a:noFill/>
                  </pic:spPr>
                </pic:pic>
              </a:graphicData>
            </a:graphic>
          </wp:anchor>
        </w:drawing>
      </w:r>
    </w:p>
    <w:p>
      <w:pPr>
        <w:sectPr>
          <w:pgSz w:w="11920" w:h="16850" w:orient="portrait"/>
          <w:cols w:equalWidth="0" w:num="1">
            <w:col w:w="10409"/>
          </w:cols>
          <w:pgMar w:left="991" w:top="376" w:right="511" w:bottom="0" w:gutter="0" w:footer="0" w:header="0"/>
        </w:sectPr>
      </w:pPr>
    </w:p>
    <w:p>
      <w:pPr>
        <w:spacing w:after="0" w:line="2" w:lineRule="exact"/>
        <w:rPr>
          <w:sz w:val="20"/>
          <w:szCs w:val="20"/>
          <w:color w:val="auto"/>
        </w:rPr>
      </w:pPr>
    </w:p>
    <w:p>
      <w:pPr>
        <w:jc w:val="center"/>
        <w:ind w:right="6751"/>
        <w:spacing w:after="0"/>
        <w:rPr>
          <w:sz w:val="20"/>
          <w:szCs w:val="20"/>
          <w:color w:val="auto"/>
        </w:rPr>
      </w:pPr>
      <w:r>
        <w:rPr>
          <w:rFonts w:ascii="Times New Roman" w:cs="Times New Roman" w:eastAsia="Times New Roman" w:hAnsi="Times New Roman"/>
          <w:sz w:val="15"/>
          <w:szCs w:val="15"/>
          <w:b w:val="1"/>
          <w:bCs w:val="1"/>
          <w:color w:val="999999"/>
        </w:rPr>
        <w:t>Титуляр: „БН-КОНСУЛТ-ИНЖЕНИРИНГ” ООД</w:t>
      </w:r>
    </w:p>
    <w:p>
      <w:pPr>
        <w:spacing w:after="0" w:line="12" w:lineRule="exact"/>
        <w:rPr>
          <w:sz w:val="20"/>
          <w:szCs w:val="20"/>
          <w:color w:val="auto"/>
        </w:rPr>
      </w:pPr>
    </w:p>
    <w:p>
      <w:pPr>
        <w:jc w:val="center"/>
        <w:ind w:right="6871"/>
        <w:spacing w:after="0"/>
        <w:rPr>
          <w:sz w:val="20"/>
          <w:szCs w:val="20"/>
          <w:color w:val="auto"/>
        </w:rPr>
      </w:pPr>
      <w:r>
        <w:rPr>
          <w:rFonts w:ascii="Times New Roman" w:cs="Times New Roman" w:eastAsia="Times New Roman" w:hAnsi="Times New Roman"/>
          <w:sz w:val="16"/>
          <w:szCs w:val="16"/>
          <w:b w:val="1"/>
          <w:bCs w:val="1"/>
          <w:color w:val="999999"/>
        </w:rPr>
        <w:t>гр. София</w:t>
      </w:r>
    </w:p>
    <w:p>
      <w:pPr>
        <w:sectPr>
          <w:pgSz w:w="11920" w:h="16850" w:orient="portrait"/>
          <w:cols w:equalWidth="0" w:num="1">
            <w:col w:w="10409"/>
          </w:cols>
          <w:pgMar w:left="991" w:top="376" w:right="511" w:bottom="0" w:gutter="0" w:footer="0" w:header="0"/>
          <w:type w:val="continuous"/>
        </w:sectPr>
      </w:pPr>
    </w:p>
    <w:p>
      <w:pPr>
        <w:jc w:val="both"/>
        <w:ind w:right="60"/>
        <w:spacing w:after="0" w:line="255" w:lineRule="auto"/>
        <w:rPr>
          <w:sz w:val="20"/>
          <w:szCs w:val="20"/>
          <w:color w:val="auto"/>
        </w:rPr>
      </w:pPr>
      <w:r>
        <w:rPr>
          <w:rFonts w:ascii="Times New Roman" w:cs="Times New Roman" w:eastAsia="Times New Roman" w:hAnsi="Times New Roman"/>
          <w:sz w:val="20"/>
          <w:szCs w:val="20"/>
          <w:b w:val="1"/>
          <w:bCs w:val="1"/>
          <w:color w:val="auto"/>
        </w:rPr>
        <w:t xml:space="preserve">ПРЕДЛОЖЕНИЕ ЗА УПРАВЛЕНИЕ НА МИННИТЕ ОТПАДЪЦИ при осъществяване на инвестиционно предложение: „Добив на подземни богатства – индустриални минерали - глауконитови пясъчници от находище </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b w:val="1"/>
          <w:bCs w:val="1"/>
          <w:color w:val="auto"/>
        </w:rPr>
        <w:t>ГЛОРИЯ</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b w:val="1"/>
          <w:bCs w:val="1"/>
          <w:color w:val="auto"/>
        </w:rPr>
        <w:t>,</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разположено в землищата на с.</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Мало Пещене и с.</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Голямо Пещене,</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община Враца,</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област Враца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-12700</wp:posOffset>
                </wp:positionH>
                <wp:positionV relativeFrom="paragraph">
                  <wp:posOffset>15875</wp:posOffset>
                </wp:positionV>
                <wp:extent cx="6553200" cy="0"/>
                <wp:wrapNone/>
                <wp:docPr id="56" name="Shape 5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53200" cy="4763"/>
                        </a:xfrm>
                        <a:prstGeom prst="line">
                          <a:avLst/>
                        </a:prstGeom>
                        <a:solidFill>
                          <a:srgbClr val="FFFFFF"/>
                        </a:solidFill>
                        <a:ln w="9525">
                          <a:solidFill>
                            <a:srgbClr val="969696"/>
                          </a:solidFill>
                          <a:miter lim="800000"/>
                          <a:headEnd/>
                          <a:tailEnd/>
                        </a:ln>
                      </wps:spPr>
                      <wps:bodyPr/>
                    </wps:wsp>
                  </a:graphicData>
                </a:graphic>
              </wp:anchor>
            </w:drawing>
          </mc:Choice>
          <mc:Fallback>
            <w:pict>
              <v:line id="Shape 56" o:spid="_x0000_s108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pt,1.25pt" to="515pt,1.25pt" o:allowincell="f" strokecolor="#969696" strokeweight="0.75pt"/>
            </w:pict>
          </mc:Fallback>
        </mc:AlternateContent>
      </w:r>
    </w:p>
    <w:p>
      <w:pPr>
        <w:spacing w:after="0" w:line="155" w:lineRule="exact"/>
        <w:rPr>
          <w:sz w:val="20"/>
          <w:szCs w:val="20"/>
          <w:color w:val="auto"/>
        </w:rPr>
      </w:pPr>
    </w:p>
    <w:p>
      <w:pPr>
        <w:jc w:val="both"/>
        <w:ind w:right="60"/>
        <w:spacing w:after="0"/>
        <w:rPr>
          <w:sz w:val="20"/>
          <w:szCs w:val="20"/>
          <w:color w:val="auto"/>
        </w:rPr>
      </w:pPr>
      <w:r>
        <w:rPr>
          <w:rFonts w:ascii="Times New Roman" w:cs="Times New Roman" w:eastAsia="Times New Roman" w:hAnsi="Times New Roman"/>
          <w:sz w:val="24"/>
          <w:szCs w:val="24"/>
          <w:color w:val="auto"/>
        </w:rPr>
        <w:t>свойства на земите в близост до обекта. Замърсяване на почвената покривка извън земите в концесионната площ не се очаква. Замърсени с вредни вещества земи на територията на необходимата площ по бъдещата концесия и в близост до нея не се очакват.</w:t>
      </w:r>
    </w:p>
    <w:p>
      <w:pPr>
        <w:jc w:val="both"/>
        <w:ind w:right="60" w:firstLine="566"/>
        <w:spacing w:after="0"/>
        <w:rPr>
          <w:sz w:val="20"/>
          <w:szCs w:val="20"/>
          <w:color w:val="auto"/>
        </w:rPr>
      </w:pPr>
      <w:r>
        <w:rPr>
          <w:rFonts w:ascii="Times New Roman" w:cs="Times New Roman" w:eastAsia="Times New Roman" w:hAnsi="Times New Roman"/>
          <w:sz w:val="24"/>
          <w:szCs w:val="24"/>
          <w:color w:val="auto"/>
        </w:rPr>
        <w:t>При експлоатацията на обекта не се очаква развитие на деградационни процеси на почвите в ненарушените прилежащи терени. Водната и ветровата ерозия на почвата в района няма да се повлиява от експлоатацията на находището.</w:t>
      </w:r>
    </w:p>
    <w:p>
      <w:pPr>
        <w:jc w:val="both"/>
        <w:ind w:right="60" w:firstLine="558"/>
        <w:spacing w:after="0"/>
        <w:tabs>
          <w:tab w:leader="none" w:pos="787" w:val="left"/>
        </w:tabs>
        <w:numPr>
          <w:ilvl w:val="1"/>
          <w:numId w:val="26"/>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осъществяване на дейността по бъдещата концесията ще се отстранява почвената покривка в рамките на определените участъци в концесионната площ, което е временно, с малък териториален обхват, дълготрайно, без кумулативни и комбинирани въздействия и с възможност за възстановяване.</w:t>
      </w:r>
    </w:p>
    <w:p>
      <w:pPr>
        <w:ind w:left="560"/>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Предвиждат се следните мерки:</w:t>
      </w:r>
    </w:p>
    <w:p>
      <w:pPr>
        <w:spacing w:after="0" w:line="19" w:lineRule="exact"/>
        <w:rPr>
          <w:rFonts w:ascii="Times New Roman" w:cs="Times New Roman" w:eastAsia="Times New Roman" w:hAnsi="Times New Roman"/>
          <w:sz w:val="24"/>
          <w:szCs w:val="24"/>
          <w:color w:val="auto"/>
        </w:rPr>
      </w:pPr>
    </w:p>
    <w:p>
      <w:pPr>
        <w:jc w:val="both"/>
        <w:ind w:left="720" w:right="60" w:hanging="369"/>
        <w:spacing w:after="0" w:line="239" w:lineRule="auto"/>
        <w:tabs>
          <w:tab w:leader="none" w:pos="720" w:val="left"/>
        </w:tabs>
        <w:numPr>
          <w:ilvl w:val="0"/>
          <w:numId w:val="26"/>
        </w:numPr>
        <w:rPr>
          <w:rFonts w:ascii="Symbol" w:cs="Symbol" w:eastAsia="Symbol" w:hAnsi="Symbol"/>
          <w:sz w:val="24"/>
          <w:szCs w:val="24"/>
          <w:color w:val="auto"/>
        </w:rPr>
      </w:pPr>
      <w:r>
        <w:rPr>
          <w:rFonts w:ascii="Times New Roman" w:cs="Times New Roman" w:eastAsia="Times New Roman" w:hAnsi="Times New Roman"/>
          <w:sz w:val="24"/>
          <w:szCs w:val="24"/>
          <w:color w:val="auto"/>
        </w:rPr>
        <w:t>да се спазва проекта за поетапна техническа и биологическа рекултивация на отработените пространства, който ще бъде неразделна част от Цялостния работен проект за експлоатация на находище „Глория”;</w:t>
      </w:r>
    </w:p>
    <w:p>
      <w:pPr>
        <w:spacing w:after="0" w:line="2" w:lineRule="exact"/>
        <w:rPr>
          <w:rFonts w:ascii="Symbol" w:cs="Symbol" w:eastAsia="Symbol" w:hAnsi="Symbol"/>
          <w:sz w:val="24"/>
          <w:szCs w:val="24"/>
          <w:color w:val="auto"/>
        </w:rPr>
      </w:pPr>
    </w:p>
    <w:p>
      <w:pPr>
        <w:ind w:left="720" w:hanging="369"/>
        <w:spacing w:after="0" w:line="239" w:lineRule="auto"/>
        <w:tabs>
          <w:tab w:leader="none" w:pos="720" w:val="left"/>
        </w:tabs>
        <w:numPr>
          <w:ilvl w:val="0"/>
          <w:numId w:val="26"/>
        </w:numPr>
        <w:rPr>
          <w:rFonts w:ascii="Symbol" w:cs="Symbol" w:eastAsia="Symbol" w:hAnsi="Symbol"/>
          <w:sz w:val="24"/>
          <w:szCs w:val="24"/>
          <w:color w:val="auto"/>
        </w:rPr>
      </w:pPr>
      <w:r>
        <w:rPr>
          <w:rFonts w:ascii="Times New Roman" w:cs="Times New Roman" w:eastAsia="Times New Roman" w:hAnsi="Times New Roman"/>
          <w:sz w:val="24"/>
          <w:szCs w:val="24"/>
          <w:color w:val="auto"/>
        </w:rPr>
        <w:t>да не се допуска замърсяване на земите извън концесионната площ;</w:t>
      </w:r>
    </w:p>
    <w:p>
      <w:pPr>
        <w:ind w:left="720" w:hanging="369"/>
        <w:spacing w:after="0"/>
        <w:tabs>
          <w:tab w:leader="none" w:pos="720" w:val="left"/>
        </w:tabs>
        <w:numPr>
          <w:ilvl w:val="0"/>
          <w:numId w:val="26"/>
        </w:numPr>
        <w:rPr>
          <w:rFonts w:ascii="Symbol" w:cs="Symbol" w:eastAsia="Symbol" w:hAnsi="Symbol"/>
          <w:sz w:val="24"/>
          <w:szCs w:val="24"/>
          <w:color w:val="auto"/>
        </w:rPr>
      </w:pPr>
      <w:r>
        <w:rPr>
          <w:rFonts w:ascii="Times New Roman" w:cs="Times New Roman" w:eastAsia="Times New Roman" w:hAnsi="Times New Roman"/>
          <w:sz w:val="24"/>
          <w:szCs w:val="24"/>
          <w:color w:val="auto"/>
        </w:rPr>
        <w:t>да се води точна отчетност на нарушените терени.</w:t>
      </w:r>
    </w:p>
    <w:p>
      <w:pPr>
        <w:spacing w:after="0" w:line="101" w:lineRule="exact"/>
        <w:rPr>
          <w:sz w:val="20"/>
          <w:szCs w:val="20"/>
          <w:color w:val="auto"/>
        </w:rPr>
      </w:pPr>
    </w:p>
    <w:p>
      <w:pPr>
        <w:ind w:left="560"/>
        <w:spacing w:after="0"/>
        <w:rPr>
          <w:sz w:val="20"/>
          <w:szCs w:val="20"/>
          <w:color w:val="auto"/>
        </w:rPr>
      </w:pPr>
      <w:r>
        <w:rPr>
          <w:rFonts w:ascii="Times New Roman" w:cs="Times New Roman" w:eastAsia="Times New Roman" w:hAnsi="Times New Roman"/>
          <w:sz w:val="24"/>
          <w:szCs w:val="24"/>
          <w:b w:val="1"/>
          <w:bCs w:val="1"/>
          <w:i w:val="1"/>
          <w:iCs w:val="1"/>
          <w:color w:val="auto"/>
        </w:rPr>
        <w:t>5.3.2. Въздух</w:t>
      </w:r>
    </w:p>
    <w:p>
      <w:pPr>
        <w:spacing w:after="0" w:line="1" w:lineRule="exact"/>
        <w:rPr>
          <w:sz w:val="20"/>
          <w:szCs w:val="20"/>
          <w:color w:val="auto"/>
        </w:rPr>
      </w:pPr>
    </w:p>
    <w:p>
      <w:pPr>
        <w:jc w:val="both"/>
        <w:ind w:right="60" w:firstLine="566"/>
        <w:spacing w:after="0"/>
        <w:rPr>
          <w:sz w:val="20"/>
          <w:szCs w:val="20"/>
          <w:color w:val="auto"/>
        </w:rPr>
      </w:pPr>
      <w:r>
        <w:rPr>
          <w:rFonts w:ascii="Times New Roman" w:cs="Times New Roman" w:eastAsia="Times New Roman" w:hAnsi="Times New Roman"/>
          <w:sz w:val="24"/>
          <w:szCs w:val="24"/>
          <w:color w:val="auto"/>
        </w:rPr>
        <w:t>Главните емисии, които влияят, но за кратко време на околната среда, са отделящите се в процеса на експлоатация на находището газови и прахови емисии. Количеството на отделения прах ще е по-съществено, но краткотрайно и няма да окаже трайни последици върху климата и околната среда на района на концесията, за която ще се кандидатства.</w:t>
      </w:r>
    </w:p>
    <w:p>
      <w:pPr>
        <w:jc w:val="both"/>
        <w:ind w:right="60" w:firstLine="566"/>
        <w:spacing w:after="0" w:line="239" w:lineRule="auto"/>
        <w:rPr>
          <w:sz w:val="20"/>
          <w:szCs w:val="20"/>
          <w:color w:val="auto"/>
        </w:rPr>
      </w:pPr>
      <w:r>
        <w:rPr>
          <w:rFonts w:ascii="Times New Roman" w:cs="Times New Roman" w:eastAsia="Times New Roman" w:hAnsi="Times New Roman"/>
          <w:sz w:val="24"/>
          <w:szCs w:val="24"/>
          <w:color w:val="auto"/>
        </w:rPr>
        <w:t>Времето на разсейване на вредните вещества в атмосферата зависи от метеорологичните условия, посоката и силата на вятъра, депресията на температурата във височина, влажността на въздуха. Теренът на находище „Глория” е леко хълмист и е открит. Това ще прави кариерата лесно проветрива, което спомага за добър самоочистващ ефект. Въздействието върху компонентите на околната среда ще е незначително. Обхватът на действие ще е локален. Емисиите на вредните вещества от транспортните средства ще са също незначителни и практически атмосферния въздух не променя състава си. Териториалният обхват ще е малък; продължителността на въздействие – краткотрайно; честотата на въздействие – периодична; има възможност за възстановяване, не се очакват кумулативни и комбинирани въздействия;</w:t>
      </w:r>
    </w:p>
    <w:p>
      <w:pPr>
        <w:spacing w:after="0" w:line="8" w:lineRule="exact"/>
        <w:rPr>
          <w:sz w:val="20"/>
          <w:szCs w:val="20"/>
          <w:color w:val="auto"/>
        </w:rPr>
      </w:pPr>
    </w:p>
    <w:p>
      <w:pPr>
        <w:jc w:val="both"/>
        <w:ind w:right="60" w:firstLine="566"/>
        <w:spacing w:after="0" w:line="245" w:lineRule="auto"/>
        <w:rPr>
          <w:sz w:val="20"/>
          <w:szCs w:val="20"/>
          <w:color w:val="auto"/>
        </w:rPr>
      </w:pPr>
      <w:r>
        <w:rPr>
          <w:rFonts w:ascii="Times New Roman" w:cs="Times New Roman" w:eastAsia="Times New Roman" w:hAnsi="Times New Roman"/>
          <w:sz w:val="24"/>
          <w:szCs w:val="24"/>
          <w:color w:val="auto"/>
        </w:rPr>
        <w:t>За снижаване на концентрациите на вредни газове и прах в района на находището, и извън площта необходима за осъществяване на дейността по концесията, е необходимо да се спазват и прилагат следните решения и технически мероприятия:</w:t>
      </w:r>
    </w:p>
    <w:p>
      <w:pPr>
        <w:spacing w:after="0" w:line="2" w:lineRule="exact"/>
        <w:rPr>
          <w:sz w:val="20"/>
          <w:szCs w:val="20"/>
          <w:color w:val="auto"/>
        </w:rPr>
      </w:pPr>
    </w:p>
    <w:p>
      <w:pPr>
        <w:ind w:left="1280" w:right="60" w:hanging="362"/>
        <w:spacing w:after="0"/>
        <w:tabs>
          <w:tab w:leader="none" w:pos="1280" w:val="left"/>
        </w:tabs>
        <w:numPr>
          <w:ilvl w:val="0"/>
          <w:numId w:val="27"/>
        </w:numPr>
        <w:rPr>
          <w:rFonts w:ascii="Symbol" w:cs="Symbol" w:eastAsia="Symbol" w:hAnsi="Symbol"/>
          <w:sz w:val="24"/>
          <w:szCs w:val="24"/>
          <w:color w:val="auto"/>
        </w:rPr>
      </w:pPr>
      <w:r>
        <w:rPr>
          <w:rFonts w:ascii="Times New Roman" w:cs="Times New Roman" w:eastAsia="Times New Roman" w:hAnsi="Times New Roman"/>
          <w:sz w:val="24"/>
          <w:szCs w:val="24"/>
          <w:color w:val="auto"/>
        </w:rPr>
        <w:t>При булдозерни и товарно-разтоварни работи, периодично да се извършва оросяване на минната маса;</w:t>
      </w:r>
    </w:p>
    <w:p>
      <w:pPr>
        <w:spacing w:after="0" w:line="1" w:lineRule="exact"/>
        <w:rPr>
          <w:rFonts w:ascii="Symbol" w:cs="Symbol" w:eastAsia="Symbol" w:hAnsi="Symbol"/>
          <w:sz w:val="24"/>
          <w:szCs w:val="24"/>
          <w:color w:val="auto"/>
        </w:rPr>
      </w:pPr>
    </w:p>
    <w:p>
      <w:pPr>
        <w:ind w:left="1280" w:hanging="362"/>
        <w:spacing w:after="0" w:line="239" w:lineRule="auto"/>
        <w:tabs>
          <w:tab w:leader="none" w:pos="1280" w:val="left"/>
        </w:tabs>
        <w:numPr>
          <w:ilvl w:val="0"/>
          <w:numId w:val="27"/>
        </w:numPr>
        <w:rPr>
          <w:rFonts w:ascii="Symbol" w:cs="Symbol" w:eastAsia="Symbol" w:hAnsi="Symbol"/>
          <w:sz w:val="24"/>
          <w:szCs w:val="24"/>
          <w:color w:val="auto"/>
        </w:rPr>
      </w:pPr>
      <w:r>
        <w:rPr>
          <w:rFonts w:ascii="Times New Roman" w:cs="Times New Roman" w:eastAsia="Times New Roman" w:hAnsi="Times New Roman"/>
          <w:sz w:val="24"/>
          <w:szCs w:val="24"/>
          <w:color w:val="auto"/>
        </w:rPr>
        <w:t>Оросяването ще се извършва с водоноски;</w:t>
      </w:r>
    </w:p>
    <w:p>
      <w:pPr>
        <w:ind w:left="1280" w:right="60" w:hanging="362"/>
        <w:spacing w:after="0" w:line="239" w:lineRule="auto"/>
        <w:tabs>
          <w:tab w:leader="none" w:pos="1280" w:val="left"/>
        </w:tabs>
        <w:numPr>
          <w:ilvl w:val="0"/>
          <w:numId w:val="27"/>
        </w:numPr>
        <w:rPr>
          <w:rFonts w:ascii="Symbol" w:cs="Symbol" w:eastAsia="Symbol" w:hAnsi="Symbol"/>
          <w:sz w:val="24"/>
          <w:szCs w:val="24"/>
          <w:color w:val="auto"/>
        </w:rPr>
      </w:pPr>
      <w:r>
        <w:rPr>
          <w:rFonts w:ascii="Times New Roman" w:cs="Times New Roman" w:eastAsia="Times New Roman" w:hAnsi="Times New Roman"/>
          <w:sz w:val="24"/>
          <w:szCs w:val="24"/>
          <w:color w:val="auto"/>
        </w:rPr>
        <w:t>За намаляване токсичността на газовете от дизеловите машини, да се осигурява подходящо гориво;</w:t>
      </w:r>
    </w:p>
    <w:p>
      <w:pPr>
        <w:spacing w:after="0" w:line="1" w:lineRule="exact"/>
        <w:rPr>
          <w:rFonts w:ascii="Symbol" w:cs="Symbol" w:eastAsia="Symbol" w:hAnsi="Symbol"/>
          <w:sz w:val="24"/>
          <w:szCs w:val="24"/>
          <w:color w:val="auto"/>
        </w:rPr>
      </w:pPr>
    </w:p>
    <w:p>
      <w:pPr>
        <w:jc w:val="both"/>
        <w:ind w:left="1280" w:right="60" w:hanging="362"/>
        <w:spacing w:after="0" w:line="239" w:lineRule="auto"/>
        <w:tabs>
          <w:tab w:leader="none" w:pos="1280" w:val="left"/>
        </w:tabs>
        <w:numPr>
          <w:ilvl w:val="0"/>
          <w:numId w:val="27"/>
        </w:numPr>
        <w:rPr>
          <w:rFonts w:ascii="Symbol" w:cs="Symbol" w:eastAsia="Symbol" w:hAnsi="Symbol"/>
          <w:sz w:val="24"/>
          <w:szCs w:val="24"/>
          <w:color w:val="auto"/>
        </w:rPr>
      </w:pPr>
      <w:r>
        <w:rPr>
          <w:rFonts w:ascii="Times New Roman" w:cs="Times New Roman" w:eastAsia="Times New Roman" w:hAnsi="Times New Roman"/>
          <w:sz w:val="24"/>
          <w:szCs w:val="24"/>
          <w:color w:val="auto"/>
        </w:rPr>
        <w:t>За контрол на атмосферния въздух в кариерата периодично да се вземат прахови и газови проби като прилага мониторинг за състоянието на атмосферата в границите на обекта и извън него;</w:t>
      </w:r>
    </w:p>
    <w:p>
      <w:pPr>
        <w:spacing w:after="0" w:line="2" w:lineRule="exact"/>
        <w:rPr>
          <w:rFonts w:ascii="Symbol" w:cs="Symbol" w:eastAsia="Symbol" w:hAnsi="Symbol"/>
          <w:sz w:val="24"/>
          <w:szCs w:val="24"/>
          <w:color w:val="auto"/>
        </w:rPr>
      </w:pPr>
    </w:p>
    <w:p>
      <w:pPr>
        <w:ind w:left="1280" w:hanging="362"/>
        <w:spacing w:after="0" w:line="239" w:lineRule="auto"/>
        <w:tabs>
          <w:tab w:leader="none" w:pos="1280" w:val="left"/>
        </w:tabs>
        <w:numPr>
          <w:ilvl w:val="0"/>
          <w:numId w:val="27"/>
        </w:numPr>
        <w:rPr>
          <w:rFonts w:ascii="Symbol" w:cs="Symbol" w:eastAsia="Symbol" w:hAnsi="Symbol"/>
          <w:sz w:val="24"/>
          <w:szCs w:val="24"/>
          <w:color w:val="auto"/>
        </w:rPr>
      </w:pPr>
      <w:r>
        <w:rPr>
          <w:rFonts w:ascii="Times New Roman" w:cs="Times New Roman" w:eastAsia="Times New Roman" w:hAnsi="Times New Roman"/>
          <w:sz w:val="24"/>
          <w:szCs w:val="24"/>
          <w:color w:val="auto"/>
        </w:rPr>
        <w:t>Да се осигурят необходимите газоанализатори за измерване на токсичните газове;</w:t>
      </w:r>
    </w:p>
    <w:p>
      <w:pPr>
        <w:jc w:val="both"/>
        <w:ind w:left="1280" w:right="60" w:hanging="362"/>
        <w:spacing w:after="0" w:line="247" w:lineRule="auto"/>
        <w:tabs>
          <w:tab w:leader="none" w:pos="1280" w:val="left"/>
        </w:tabs>
        <w:numPr>
          <w:ilvl w:val="0"/>
          <w:numId w:val="27"/>
        </w:numPr>
        <w:rPr>
          <w:rFonts w:ascii="Symbol" w:cs="Symbol" w:eastAsia="Symbol" w:hAnsi="Symbol"/>
          <w:sz w:val="24"/>
          <w:szCs w:val="24"/>
          <w:color w:val="auto"/>
        </w:rPr>
      </w:pPr>
      <w:r>
        <w:rPr>
          <w:rFonts w:ascii="Times New Roman" w:cs="Times New Roman" w:eastAsia="Times New Roman" w:hAnsi="Times New Roman"/>
          <w:sz w:val="24"/>
          <w:szCs w:val="24"/>
          <w:color w:val="auto"/>
        </w:rPr>
        <w:t>При избор на технологично оборудване в бъдеще, да се дава предпочитание на такова снабдено с устройство за борба с праха и газовете, при равни други условия или при отсъствие на такива с най-малка интензивност на отделяне на вредни вещества.</w:t>
      </w:r>
    </w:p>
    <w:p>
      <w:pPr>
        <w:spacing w:after="0" w:line="74" w:lineRule="exact"/>
        <w:rPr>
          <w:sz w:val="20"/>
          <w:szCs w:val="20"/>
          <w:color w:val="auto"/>
        </w:rPr>
      </w:pPr>
    </w:p>
    <w:p>
      <w:pPr>
        <w:ind w:left="560"/>
        <w:spacing w:after="0"/>
        <w:rPr>
          <w:sz w:val="20"/>
          <w:szCs w:val="20"/>
          <w:color w:val="auto"/>
        </w:rPr>
      </w:pPr>
      <w:r>
        <w:rPr>
          <w:rFonts w:ascii="Times New Roman" w:cs="Times New Roman" w:eastAsia="Times New Roman" w:hAnsi="Times New Roman"/>
          <w:sz w:val="24"/>
          <w:szCs w:val="24"/>
          <w:b w:val="1"/>
          <w:bCs w:val="1"/>
          <w:i w:val="1"/>
          <w:iCs w:val="1"/>
          <w:color w:val="auto"/>
        </w:rPr>
        <w:t>5.3.3 Води</w:t>
      </w:r>
    </w:p>
    <w:p>
      <w:pPr>
        <w:spacing w:after="0" w:line="1" w:lineRule="exact"/>
        <w:rPr>
          <w:sz w:val="20"/>
          <w:szCs w:val="20"/>
          <w:color w:val="auto"/>
        </w:rPr>
      </w:pPr>
    </w:p>
    <w:p>
      <w:pPr>
        <w:jc w:val="both"/>
        <w:ind w:right="60" w:firstLine="566"/>
        <w:spacing w:after="0"/>
        <w:rPr>
          <w:sz w:val="20"/>
          <w:szCs w:val="20"/>
          <w:color w:val="auto"/>
        </w:rPr>
      </w:pPr>
      <w:r>
        <w:rPr>
          <w:rFonts w:ascii="Times New Roman" w:cs="Times New Roman" w:eastAsia="Times New Roman" w:hAnsi="Times New Roman"/>
          <w:sz w:val="24"/>
          <w:szCs w:val="24"/>
          <w:color w:val="auto"/>
        </w:rPr>
        <w:t>При разработване на находище „Глория” и при експлоатацията му за концесионния срок не се очакват промени в хидроложките и хидрогеоложки условия и качеството на водите. В резултат на експлоатацията на находището въздействието върху повърхностните и подземните води в териториален аспект ще има локален характер в района на находището.</w:t>
      </w:r>
    </w:p>
    <w:p>
      <w:pPr>
        <w:jc w:val="right"/>
        <w:ind w:right="60"/>
        <w:spacing w:after="0"/>
        <w:rPr>
          <w:sz w:val="20"/>
          <w:szCs w:val="20"/>
          <w:color w:val="auto"/>
        </w:rPr>
      </w:pPr>
      <w:r>
        <w:rPr>
          <w:rFonts w:ascii="Times New Roman" w:cs="Times New Roman" w:eastAsia="Times New Roman" w:hAnsi="Times New Roman"/>
          <w:sz w:val="24"/>
          <w:szCs w:val="24"/>
          <w:color w:val="auto"/>
        </w:rPr>
        <w:t>Предпазването на кариерата от дъждовни и снежни води – склонов отток, които могат да</w:t>
      </w:r>
    </w:p>
    <w:p>
      <w:pPr>
        <w:spacing w:after="0" w:line="80"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0"/>
          <w:szCs w:val="20"/>
          <w:color w:val="auto"/>
        </w:rPr>
        <w:t>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-15240</wp:posOffset>
            </wp:positionH>
            <wp:positionV relativeFrom="paragraph">
              <wp:posOffset>-60325</wp:posOffset>
            </wp:positionV>
            <wp:extent cx="6438900" cy="2857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9">
                      <a:extLst>
                        <a:ext uri="{28A0092B-C50C-407E-A947-70E740481C1C}"/>
                      </a:extLst>
                    </a:blip>
                    <a:srcRect/>
                    <a:stretch>
                      <a:fillRect/>
                    </a:stretch>
                  </pic:blipFill>
                  <pic:spPr bwMode="auto">
                    <a:xfrm>
                      <a:off x="0" y="0"/>
                      <a:ext cx="6438900" cy="28575"/>
                    </a:xfrm>
                    <a:prstGeom prst="rect">
                      <a:avLst/>
                    </a:prstGeom>
                    <a:noFill/>
                  </pic:spPr>
                </pic:pic>
              </a:graphicData>
            </a:graphic>
          </wp:anchor>
        </w:drawing>
      </w:r>
    </w:p>
    <w:p>
      <w:pPr>
        <w:sectPr>
          <w:pgSz w:w="11920" w:h="16850" w:orient="portrait"/>
          <w:cols w:equalWidth="0" w:num="1">
            <w:col w:w="10400"/>
          </w:cols>
          <w:pgMar w:left="1000" w:top="376" w:right="511" w:bottom="0" w:gutter="0" w:footer="0" w:header="0"/>
        </w:sectPr>
      </w:pPr>
    </w:p>
    <w:p>
      <w:pPr>
        <w:spacing w:after="0" w:line="2" w:lineRule="exact"/>
        <w:rPr>
          <w:sz w:val="20"/>
          <w:szCs w:val="20"/>
          <w:color w:val="auto"/>
        </w:rPr>
      </w:pPr>
    </w:p>
    <w:p>
      <w:pPr>
        <w:jc w:val="center"/>
        <w:ind w:right="6760"/>
        <w:spacing w:after="0"/>
        <w:rPr>
          <w:sz w:val="20"/>
          <w:szCs w:val="20"/>
          <w:color w:val="auto"/>
        </w:rPr>
      </w:pPr>
      <w:r>
        <w:rPr>
          <w:rFonts w:ascii="Times New Roman" w:cs="Times New Roman" w:eastAsia="Times New Roman" w:hAnsi="Times New Roman"/>
          <w:sz w:val="15"/>
          <w:szCs w:val="15"/>
          <w:b w:val="1"/>
          <w:bCs w:val="1"/>
          <w:color w:val="999999"/>
        </w:rPr>
        <w:t>Титуляр: „БН-КОНСУЛТ-ИНЖЕНИРИНГ” ООД</w:t>
      </w:r>
    </w:p>
    <w:p>
      <w:pPr>
        <w:spacing w:after="0" w:line="12" w:lineRule="exact"/>
        <w:rPr>
          <w:sz w:val="20"/>
          <w:szCs w:val="20"/>
          <w:color w:val="auto"/>
        </w:rPr>
      </w:pPr>
    </w:p>
    <w:p>
      <w:pPr>
        <w:jc w:val="center"/>
        <w:ind w:right="6880"/>
        <w:spacing w:after="0"/>
        <w:rPr>
          <w:sz w:val="20"/>
          <w:szCs w:val="20"/>
          <w:color w:val="auto"/>
        </w:rPr>
      </w:pPr>
      <w:r>
        <w:rPr>
          <w:rFonts w:ascii="Times New Roman" w:cs="Times New Roman" w:eastAsia="Times New Roman" w:hAnsi="Times New Roman"/>
          <w:sz w:val="16"/>
          <w:szCs w:val="16"/>
          <w:b w:val="1"/>
          <w:bCs w:val="1"/>
          <w:color w:val="999999"/>
        </w:rPr>
        <w:t>гр. София</w:t>
      </w:r>
    </w:p>
    <w:p>
      <w:pPr>
        <w:sectPr>
          <w:pgSz w:w="11920" w:h="16850" w:orient="portrait"/>
          <w:cols w:equalWidth="0" w:num="1">
            <w:col w:w="10400"/>
          </w:cols>
          <w:pgMar w:left="1000" w:top="376" w:right="511" w:bottom="0" w:gutter="0" w:footer="0" w:header="0"/>
          <w:type w:val="continuous"/>
        </w:sectPr>
      </w:pPr>
    </w:p>
    <w:p>
      <w:pPr>
        <w:jc w:val="both"/>
        <w:ind w:right="60"/>
        <w:spacing w:after="0" w:line="255" w:lineRule="auto"/>
        <w:rPr>
          <w:sz w:val="20"/>
          <w:szCs w:val="20"/>
          <w:color w:val="auto"/>
        </w:rPr>
      </w:pPr>
      <w:r>
        <w:rPr>
          <w:rFonts w:ascii="Times New Roman" w:cs="Times New Roman" w:eastAsia="Times New Roman" w:hAnsi="Times New Roman"/>
          <w:sz w:val="20"/>
          <w:szCs w:val="20"/>
          <w:b w:val="1"/>
          <w:bCs w:val="1"/>
          <w:color w:val="auto"/>
        </w:rPr>
        <w:t xml:space="preserve">ПРЕДЛОЖЕНИЕ ЗА УПРАВЛЕНИЕ НА МИННИТЕ ОТПАДЪЦИ при осъществяване на инвестиционно предложение: „Добив на подземни богатства – индустриални минерали - глауконитови пясъчници от находище </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b w:val="1"/>
          <w:bCs w:val="1"/>
          <w:color w:val="auto"/>
        </w:rPr>
        <w:t>ГЛОРИЯ</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b w:val="1"/>
          <w:bCs w:val="1"/>
          <w:color w:val="auto"/>
        </w:rPr>
        <w:t>,</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разположено в землищата на с.</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Мало Пещене и с.</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Голямо Пещене,</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община Враца,</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област Враца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-12700</wp:posOffset>
                </wp:positionH>
                <wp:positionV relativeFrom="paragraph">
                  <wp:posOffset>15875</wp:posOffset>
                </wp:positionV>
                <wp:extent cx="6553200" cy="0"/>
                <wp:wrapNone/>
                <wp:docPr id="58" name="Shape 5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53200" cy="4763"/>
                        </a:xfrm>
                        <a:prstGeom prst="line">
                          <a:avLst/>
                        </a:prstGeom>
                        <a:solidFill>
                          <a:srgbClr val="FFFFFF"/>
                        </a:solidFill>
                        <a:ln w="9525">
                          <a:solidFill>
                            <a:srgbClr val="969696"/>
                          </a:solidFill>
                          <a:miter lim="800000"/>
                          <a:headEnd/>
                          <a:tailEnd/>
                        </a:ln>
                      </wps:spPr>
                      <wps:bodyPr/>
                    </wps:wsp>
                  </a:graphicData>
                </a:graphic>
              </wp:anchor>
            </w:drawing>
          </mc:Choice>
          <mc:Fallback>
            <w:pict>
              <v:line id="Shape 58" o:spid="_x0000_s108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pt,1.25pt" to="515pt,1.25pt" o:allowincell="f" strokecolor="#969696" strokeweight="0.75pt"/>
            </w:pict>
          </mc:Fallback>
        </mc:AlternateContent>
      </w:r>
    </w:p>
    <w:p>
      <w:pPr>
        <w:spacing w:after="0" w:line="155" w:lineRule="exact"/>
        <w:rPr>
          <w:sz w:val="20"/>
          <w:szCs w:val="20"/>
          <w:color w:val="auto"/>
        </w:rPr>
      </w:pPr>
    </w:p>
    <w:p>
      <w:pPr>
        <w:jc w:val="both"/>
        <w:ind w:right="60"/>
        <w:spacing w:after="0"/>
        <w:rPr>
          <w:sz w:val="20"/>
          <w:szCs w:val="20"/>
          <w:color w:val="auto"/>
        </w:rPr>
      </w:pPr>
      <w:r>
        <w:rPr>
          <w:rFonts w:ascii="Times New Roman" w:cs="Times New Roman" w:eastAsia="Times New Roman" w:hAnsi="Times New Roman"/>
          <w:sz w:val="24"/>
          <w:szCs w:val="24"/>
          <w:color w:val="auto"/>
        </w:rPr>
        <w:t>навлязат в нея от околните терени, ще се извършва чрез охранителни канавки. Тези води няма да имат контакт с кариерното поле и дейностите, предвидени с инвестиционното предложение няма да въздействат върху качествата им. Формираният вследствие на валежи и снеготопене водоотлив в кариерното поле ще бъде отвеждан гравитачно към водосборници (утайници) и ще се ползва за оросяване. В процеса на добивните работи дъното на кариерното поле ще се оформя с наклон по посока на водосборниците не по-малък от 1%.</w:t>
      </w:r>
    </w:p>
    <w:p>
      <w:pPr>
        <w:jc w:val="both"/>
        <w:ind w:right="60" w:firstLine="566"/>
        <w:spacing w:after="0" w:line="272" w:lineRule="auto"/>
        <w:rPr>
          <w:sz w:val="20"/>
          <w:szCs w:val="20"/>
          <w:color w:val="auto"/>
        </w:rPr>
      </w:pPr>
      <w:r>
        <w:rPr>
          <w:rFonts w:ascii="Times New Roman" w:cs="Times New Roman" w:eastAsia="Times New Roman" w:hAnsi="Times New Roman"/>
          <w:sz w:val="24"/>
          <w:szCs w:val="24"/>
          <w:color w:val="auto"/>
        </w:rPr>
        <w:t>Замърсяване на повърхностните и подземните води от формираните отпадъчни и дъждовни води при нормални експлоатационни условия не следва да се очаква.</w:t>
      </w:r>
    </w:p>
    <w:p>
      <w:pPr>
        <w:spacing w:after="0" w:line="45" w:lineRule="exact"/>
        <w:rPr>
          <w:sz w:val="20"/>
          <w:szCs w:val="20"/>
          <w:color w:val="auto"/>
        </w:rPr>
      </w:pPr>
    </w:p>
    <w:p>
      <w:pPr>
        <w:ind w:left="560"/>
        <w:spacing w:after="0"/>
        <w:rPr>
          <w:sz w:val="20"/>
          <w:szCs w:val="20"/>
          <w:color w:val="auto"/>
        </w:rPr>
      </w:pPr>
      <w:r>
        <w:rPr>
          <w:rFonts w:ascii="Times New Roman" w:cs="Times New Roman" w:eastAsia="Times New Roman" w:hAnsi="Times New Roman"/>
          <w:sz w:val="24"/>
          <w:szCs w:val="24"/>
          <w:b w:val="1"/>
          <w:bCs w:val="1"/>
          <w:i w:val="1"/>
          <w:iCs w:val="1"/>
          <w:color w:val="auto"/>
        </w:rPr>
        <w:t>5.3.4. Ландшафт</w:t>
      </w:r>
    </w:p>
    <w:p>
      <w:pPr>
        <w:spacing w:after="0" w:line="1" w:lineRule="exact"/>
        <w:rPr>
          <w:sz w:val="20"/>
          <w:szCs w:val="20"/>
          <w:color w:val="auto"/>
        </w:rPr>
      </w:pPr>
    </w:p>
    <w:p>
      <w:pPr>
        <w:jc w:val="both"/>
        <w:ind w:right="60" w:firstLine="566"/>
        <w:spacing w:after="0" w:line="248" w:lineRule="auto"/>
        <w:rPr>
          <w:sz w:val="20"/>
          <w:szCs w:val="20"/>
          <w:color w:val="auto"/>
        </w:rPr>
      </w:pPr>
      <w:r>
        <w:rPr>
          <w:rFonts w:ascii="Times New Roman" w:cs="Times New Roman" w:eastAsia="Times New Roman" w:hAnsi="Times New Roman"/>
          <w:sz w:val="24"/>
          <w:szCs w:val="24"/>
          <w:color w:val="auto"/>
        </w:rPr>
        <w:t>Експлоатацията на находището ще окаже влияние върху ландшафта. В случая ландшафтът постепенно ще променя своя облик. Стопанска дейност, която ще се осъществява ще води до създаване на територия с преобладаващ минно-промишен ландшафт. Ще се образуват нови теренни форми – котлован на кариерата. Въздействието на техногенния обект се минимизира чрез провеждане на мероприятия по рекултивация на обекта.</w:t>
      </w:r>
    </w:p>
    <w:p>
      <w:pPr>
        <w:spacing w:after="0" w:line="229" w:lineRule="exact"/>
        <w:rPr>
          <w:sz w:val="20"/>
          <w:szCs w:val="20"/>
          <w:color w:val="auto"/>
        </w:rPr>
      </w:pPr>
    </w:p>
    <w:p>
      <w:pPr>
        <w:jc w:val="both"/>
        <w:ind w:right="60" w:firstLine="566"/>
        <w:spacing w:after="0" w:line="252" w:lineRule="auto"/>
        <w:rPr>
          <w:sz w:val="20"/>
          <w:szCs w:val="20"/>
          <w:color w:val="auto"/>
        </w:rPr>
      </w:pPr>
      <w:r>
        <w:rPr>
          <w:rFonts w:ascii="Times New Roman" w:cs="Times New Roman" w:eastAsia="Times New Roman" w:hAnsi="Times New Roman"/>
          <w:sz w:val="24"/>
          <w:szCs w:val="24"/>
          <w:b w:val="1"/>
          <w:bCs w:val="1"/>
          <w:i w:val="1"/>
          <w:iCs w:val="1"/>
          <w:color w:val="auto"/>
        </w:rPr>
        <w:t>Влиянието на минните отпадъци върху околната среда предвид тяхното количество и качество, ще е незначително. Генерираните отпадъци няма да предизвикат замърсяване на водите, атмосферния въздух и почвите и няма да окажат влияние върху растителния и животинския свят в района на бъдещата концесионна площ „Глория”.</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-80010</wp:posOffset>
                </wp:positionH>
                <wp:positionV relativeFrom="paragraph">
                  <wp:posOffset>137160</wp:posOffset>
                </wp:positionV>
                <wp:extent cx="6722110" cy="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722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9" o:spid="_x0000_s108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2999pt,10.8pt" to="523pt,10.8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-80010</wp:posOffset>
                </wp:positionH>
                <wp:positionV relativeFrom="paragraph">
                  <wp:posOffset>519430</wp:posOffset>
                </wp:positionV>
                <wp:extent cx="6722110" cy="0"/>
                <wp:wrapNone/>
                <wp:docPr id="60" name="Shape 6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722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0" o:spid="_x0000_s108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2999pt,40.9pt" to="523pt,40.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-76835</wp:posOffset>
                </wp:positionH>
                <wp:positionV relativeFrom="paragraph">
                  <wp:posOffset>133985</wp:posOffset>
                </wp:positionV>
                <wp:extent cx="0" cy="38862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88620"/>
                        </a:xfrm>
                        <a:prstGeom prst="line">
                          <a:avLst/>
                        </a:prstGeom>
                        <a:solidFill>
                          <a:srgbClr val="FFFFFF"/>
                        </a:solidFill>
                        <a:ln w="6108">
                          <a:solidFill>
                            <a:srgbClr val="000000"/>
                          </a:solidFill>
                          <a:miter lim="800000"/>
                          <a:headEnd/>
                          <a:tailEnd/>
                        </a:ln>
                      </wps:spPr>
                      <wps:bodyPr/>
                    </wps:wsp>
                  </a:graphicData>
                </a:graphic>
              </wp:anchor>
            </w:drawing>
          </mc:Choice>
          <mc:Fallback>
            <w:pict>
              <v:line id="Shape 61" o:spid="_x0000_s108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0499pt,10.55pt" to="-6.0499pt,41.15pt" o:allowincell="f" strokecolor="#000000" strokeweight="0.4809pt"/>
            </w:pict>
          </mc:Fallback>
        </mc:AlternateContent>
        <mc:AlternateContent>
          <mc:Choice Requires="wps">
            <w:drawing>
              <wp:anchor simplePos="0" relativeHeight="251657728" behindDoc="1" locked="0" layoutInCell="0" allowOverlap="1">
                <wp:simplePos x="0" y="0"/>
                <wp:positionH relativeFrom="column">
                  <wp:posOffset>6638925</wp:posOffset>
                </wp:positionH>
                <wp:positionV relativeFrom="paragraph">
                  <wp:posOffset>133985</wp:posOffset>
                </wp:positionV>
                <wp:extent cx="0" cy="388620"/>
                <wp:wrapNone/>
                <wp:docPr id="62" name="Shape 6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88620"/>
                        </a:xfrm>
                        <a:prstGeom prst="line">
                          <a:avLst/>
                        </a:prstGeom>
                        <a:solidFill>
                          <a:srgbClr val="FFFFFF"/>
                        </a:solidFill>
                        <a:ln w="6108">
                          <a:solidFill>
                            <a:srgbClr val="000000"/>
                          </a:solidFill>
                          <a:miter lim="800000"/>
                          <a:headEnd/>
                          <a:tailEnd/>
                        </a:ln>
                      </wps:spPr>
                      <wps:bodyPr/>
                    </wps:wsp>
                  </a:graphicData>
                </a:graphic>
              </wp:anchor>
            </w:drawing>
          </mc:Choice>
          <mc:Fallback>
            <w:pict>
              <v:line id="Shape 62" o:spid="_x0000_s108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22.75pt,10.55pt" to="522.75pt,41.15pt" o:allowincell="f" strokecolor="#000000" strokeweight="0.4809pt"/>
            </w:pict>
          </mc:Fallback>
        </mc:AlternateContent>
      </w:r>
    </w:p>
    <w:p>
      <w:pPr>
        <w:spacing w:after="0" w:line="198" w:lineRule="exact"/>
        <w:rPr>
          <w:sz w:val="20"/>
          <w:szCs w:val="20"/>
          <w:color w:val="auto"/>
        </w:rPr>
      </w:pPr>
    </w:p>
    <w:p>
      <w:pPr>
        <w:ind w:right="60" w:firstLine="558"/>
        <w:spacing w:after="0" w:line="278" w:lineRule="auto"/>
        <w:tabs>
          <w:tab w:leader="none" w:pos="1118" w:val="left"/>
        </w:tabs>
        <w:numPr>
          <w:ilvl w:val="0"/>
          <w:numId w:val="28"/>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color w:val="auto"/>
        </w:rPr>
        <w:t>ПЛАНИРАНЕ НА МЕРКИ ЗА НЕДОПУСКАНЕ НА АВАРИИ И ПРЕДОТВРАТЯВАНЕ НА РИСКОВЕТЕ</w:t>
      </w:r>
    </w:p>
    <w:p>
      <w:pPr>
        <w:spacing w:after="0" w:line="61" w:lineRule="exact"/>
        <w:rPr>
          <w:sz w:val="20"/>
          <w:szCs w:val="20"/>
          <w:color w:val="auto"/>
        </w:rPr>
      </w:pPr>
    </w:p>
    <w:p>
      <w:pPr>
        <w:jc w:val="both"/>
        <w:ind w:right="60" w:firstLine="566"/>
        <w:spacing w:after="0"/>
        <w:rPr>
          <w:sz w:val="20"/>
          <w:szCs w:val="20"/>
          <w:color w:val="auto"/>
        </w:rPr>
      </w:pPr>
      <w:r>
        <w:rPr>
          <w:rFonts w:ascii="Times New Roman" w:cs="Times New Roman" w:eastAsia="Times New Roman" w:hAnsi="Times New Roman"/>
          <w:sz w:val="24"/>
          <w:szCs w:val="24"/>
          <w:color w:val="auto"/>
        </w:rPr>
        <w:t>За вероятното възникване на аварии и инциденти и тяхното предотвратяване, Инвеститорът ще разработи „План за предотвратяване и ликвидиране на аварии в кариера за добив на глаукон итови пясъчници „Глория””, който ще бъде приложен към Цялостния работен проект за експлоатация на находището и който ще бъде съгласуван с компетентните органи.</w:t>
      </w:r>
    </w:p>
    <w:p>
      <w:pPr>
        <w:jc w:val="both"/>
        <w:ind w:right="60" w:firstLine="566"/>
        <w:spacing w:after="0" w:line="245" w:lineRule="auto"/>
        <w:rPr>
          <w:sz w:val="20"/>
          <w:szCs w:val="20"/>
          <w:color w:val="auto"/>
        </w:rPr>
      </w:pPr>
      <w:r>
        <w:rPr>
          <w:rFonts w:ascii="Times New Roman" w:cs="Times New Roman" w:eastAsia="Times New Roman" w:hAnsi="Times New Roman"/>
          <w:sz w:val="24"/>
          <w:szCs w:val="24"/>
          <w:color w:val="auto"/>
        </w:rPr>
        <w:t>Планът ще определя превантивните мероприятия на начинът на действие на персонала при възникване на бедствия и аварии на обекта по време на експлоатация, чрез предварително осигуряване на:</w:t>
      </w:r>
    </w:p>
    <w:p>
      <w:pPr>
        <w:ind w:left="920"/>
        <w:spacing w:after="0"/>
        <w:tabs>
          <w:tab w:leader="none" w:pos="1260" w:val="left"/>
          <w:tab w:leader="none" w:pos="3020" w:val="left"/>
          <w:tab w:leader="none" w:pos="4400" w:val="left"/>
          <w:tab w:leader="none" w:pos="5460" w:val="left"/>
          <w:tab w:leader="none" w:pos="5840" w:val="left"/>
          <w:tab w:leader="none" w:pos="6980" w:val="left"/>
          <w:tab w:leader="none" w:pos="7440" w:val="left"/>
          <w:tab w:leader="none" w:pos="8760" w:val="left"/>
          <w:tab w:leader="none" w:pos="10080" w:val="left"/>
        </w:tabs>
        <w:rPr>
          <w:sz w:val="20"/>
          <w:szCs w:val="20"/>
          <w:color w:val="auto"/>
        </w:rPr>
      </w:pPr>
      <w:r>
        <w:rPr>
          <w:rFonts w:ascii="Symbol" w:cs="Symbol" w:eastAsia="Symbol" w:hAnsi="Symbol"/>
          <w:sz w:val="24"/>
          <w:szCs w:val="24"/>
          <w:color w:val="auto"/>
        </w:rPr>
        <w:t>•</w:t>
      </w:r>
      <w:r>
        <w:rPr>
          <w:sz w:val="20"/>
          <w:szCs w:val="20"/>
          <w:color w:val="auto"/>
        </w:rPr>
        <w:tab/>
      </w:r>
      <w:r>
        <w:rPr>
          <w:rFonts w:ascii="Times New Roman" w:cs="Times New Roman" w:eastAsia="Times New Roman" w:hAnsi="Times New Roman"/>
          <w:sz w:val="24"/>
          <w:szCs w:val="24"/>
          <w:color w:val="auto"/>
        </w:rPr>
        <w:t>Необходимите</w:t>
        <w:tab/>
        <w:t>материали,</w:t>
        <w:tab/>
        <w:t>техника</w:t>
        <w:tab/>
        <w:t>и</w:t>
        <w:tab/>
        <w:t>средства</w:t>
        <w:tab/>
        <w:t>за</w:t>
        <w:tab/>
        <w:t>ефективна</w:t>
        <w:tab/>
        <w:t>дейност</w:t>
      </w:r>
      <w:r>
        <w:rPr>
          <w:sz w:val="20"/>
          <w:szCs w:val="20"/>
          <w:color w:val="auto"/>
        </w:rPr>
        <w:tab/>
      </w:r>
      <w:r>
        <w:rPr>
          <w:rFonts w:ascii="Times New Roman" w:cs="Times New Roman" w:eastAsia="Times New Roman" w:hAnsi="Times New Roman"/>
          <w:sz w:val="23"/>
          <w:szCs w:val="23"/>
          <w:color w:val="auto"/>
        </w:rPr>
        <w:t>по</w:t>
      </w:r>
    </w:p>
    <w:p>
      <w:pPr>
        <w:ind w:left="1280"/>
        <w:spacing w:after="0"/>
        <w:rPr>
          <w:sz w:val="20"/>
          <w:szCs w:val="20"/>
          <w:color w:val="auto"/>
        </w:rPr>
      </w:pPr>
      <w:r>
        <w:rPr>
          <w:rFonts w:ascii="Times New Roman" w:cs="Times New Roman" w:eastAsia="Times New Roman" w:hAnsi="Times New Roman"/>
          <w:sz w:val="24"/>
          <w:szCs w:val="24"/>
          <w:color w:val="auto"/>
        </w:rPr>
        <w:t>предотвратяване на последствията;</w:t>
      </w:r>
    </w:p>
    <w:p>
      <w:pPr>
        <w:spacing w:after="0" w:line="18" w:lineRule="exact"/>
        <w:rPr>
          <w:sz w:val="20"/>
          <w:szCs w:val="20"/>
          <w:color w:val="auto"/>
        </w:rPr>
      </w:pPr>
    </w:p>
    <w:p>
      <w:pPr>
        <w:ind w:left="1280" w:hanging="362"/>
        <w:spacing w:after="0"/>
        <w:tabs>
          <w:tab w:leader="none" w:pos="1280" w:val="left"/>
        </w:tabs>
        <w:numPr>
          <w:ilvl w:val="0"/>
          <w:numId w:val="29"/>
        </w:numPr>
        <w:rPr>
          <w:rFonts w:ascii="Symbol" w:cs="Symbol" w:eastAsia="Symbol" w:hAnsi="Symbol"/>
          <w:sz w:val="24"/>
          <w:szCs w:val="24"/>
          <w:color w:val="auto"/>
        </w:rPr>
      </w:pPr>
      <w:r>
        <w:rPr>
          <w:rFonts w:ascii="Times New Roman" w:cs="Times New Roman" w:eastAsia="Times New Roman" w:hAnsi="Times New Roman"/>
          <w:sz w:val="24"/>
          <w:szCs w:val="24"/>
          <w:color w:val="auto"/>
        </w:rPr>
        <w:t>Подготовка на личният състав на обекта за действие;</w:t>
      </w:r>
    </w:p>
    <w:p>
      <w:pPr>
        <w:ind w:left="1280" w:hanging="362"/>
        <w:spacing w:after="0" w:line="239" w:lineRule="auto"/>
        <w:tabs>
          <w:tab w:leader="none" w:pos="1280" w:val="left"/>
        </w:tabs>
        <w:numPr>
          <w:ilvl w:val="0"/>
          <w:numId w:val="29"/>
        </w:numPr>
        <w:rPr>
          <w:rFonts w:ascii="Symbol" w:cs="Symbol" w:eastAsia="Symbol" w:hAnsi="Symbol"/>
          <w:sz w:val="24"/>
          <w:szCs w:val="24"/>
          <w:color w:val="auto"/>
        </w:rPr>
      </w:pPr>
      <w:r>
        <w:rPr>
          <w:rFonts w:ascii="Times New Roman" w:cs="Times New Roman" w:eastAsia="Times New Roman" w:hAnsi="Times New Roman"/>
          <w:sz w:val="24"/>
          <w:szCs w:val="24"/>
          <w:color w:val="auto"/>
        </w:rPr>
        <w:t>Управленията на действието на персонала;</w:t>
      </w:r>
    </w:p>
    <w:p>
      <w:pPr>
        <w:ind w:left="1280" w:hanging="362"/>
        <w:spacing w:after="0" w:line="225" w:lineRule="auto"/>
        <w:tabs>
          <w:tab w:leader="none" w:pos="1280" w:val="left"/>
        </w:tabs>
        <w:numPr>
          <w:ilvl w:val="0"/>
          <w:numId w:val="29"/>
        </w:numPr>
        <w:rPr>
          <w:rFonts w:ascii="Symbol" w:cs="Symbol" w:eastAsia="Symbol" w:hAnsi="Symbol"/>
          <w:sz w:val="24"/>
          <w:szCs w:val="24"/>
          <w:color w:val="auto"/>
        </w:rPr>
      </w:pPr>
      <w:r>
        <w:rPr>
          <w:rFonts w:ascii="Times New Roman" w:cs="Times New Roman" w:eastAsia="Times New Roman" w:hAnsi="Times New Roman"/>
          <w:sz w:val="24"/>
          <w:szCs w:val="24"/>
          <w:color w:val="auto"/>
        </w:rPr>
        <w:t>Реда за въвеждане на плана в действие и информиране на застрашеното население.</w:t>
      </w:r>
    </w:p>
    <w:p>
      <w:pPr>
        <w:ind w:left="560"/>
        <w:spacing w:after="0"/>
        <w:rPr>
          <w:rFonts w:ascii="Symbol" w:cs="Symbol" w:eastAsia="Symbol" w:hAnsi="Symbol"/>
          <w:sz w:val="24"/>
          <w:szCs w:val="24"/>
          <w:color w:val="auto"/>
        </w:rPr>
      </w:pPr>
      <w:r>
        <w:rPr>
          <w:rFonts w:ascii="Times New Roman" w:cs="Times New Roman" w:eastAsia="Times New Roman" w:hAnsi="Times New Roman"/>
          <w:sz w:val="24"/>
          <w:szCs w:val="24"/>
          <w:b w:val="1"/>
          <w:bCs w:val="1"/>
          <w:color w:val="auto"/>
        </w:rPr>
        <w:t>Авариен план</w:t>
      </w:r>
    </w:p>
    <w:p>
      <w:pPr>
        <w:ind w:left="560"/>
        <w:spacing w:after="0"/>
        <w:rPr>
          <w:rFonts w:ascii="Symbol" w:cs="Symbol" w:eastAsia="Symbol" w:hAnsi="Symbol"/>
          <w:sz w:val="24"/>
          <w:szCs w:val="24"/>
          <w:color w:val="auto"/>
        </w:rPr>
      </w:pPr>
      <w:r>
        <w:rPr>
          <w:rFonts w:ascii="Times New Roman" w:cs="Times New Roman" w:eastAsia="Times New Roman" w:hAnsi="Times New Roman"/>
          <w:sz w:val="24"/>
          <w:szCs w:val="24"/>
          <w:color w:val="auto"/>
        </w:rPr>
        <w:t>Планът за предотвратяване и ликвидиране на аварии ще бъде изготвен в съответствие с</w:t>
      </w:r>
    </w:p>
    <w:p>
      <w:pPr>
        <w:jc w:val="both"/>
        <w:ind w:right="60"/>
        <w:spacing w:after="0"/>
        <w:rPr>
          <w:sz w:val="20"/>
          <w:szCs w:val="20"/>
          <w:color w:val="auto"/>
        </w:rPr>
      </w:pPr>
      <w:r>
        <w:rPr>
          <w:rFonts w:ascii="Times New Roman" w:cs="Times New Roman" w:eastAsia="Times New Roman" w:hAnsi="Times New Roman"/>
          <w:sz w:val="24"/>
          <w:szCs w:val="24"/>
          <w:color w:val="auto"/>
        </w:rPr>
        <w:t>Инструкцията за съставяне на план на Правилника за безопасността на труда на находища по открит начин от 1996 г, и съобразен с конкретната обстановка в открито находище „Глория”. Мерките предвидени в него ще са задължителни за всички ИТР и работници в предприятието. В случай на възникнали аварии, те ще са длъжни да изпълняват задълженията си, съгласно плана за ликвидиране на аварията. С плана за ликвидиране на аварии ще бъдат запознати всички ИТР и работници, като на всеки един се обръща внимание върху неговите конкретни задължения при възникване на авария. Запознаването с плана се удостоверява с подпис.</w:t>
      </w:r>
    </w:p>
    <w:p>
      <w:pPr>
        <w:ind w:left="560"/>
        <w:spacing w:after="0"/>
        <w:rPr>
          <w:sz w:val="20"/>
          <w:szCs w:val="20"/>
          <w:color w:val="auto"/>
        </w:rPr>
      </w:pPr>
      <w:r>
        <w:rPr>
          <w:rFonts w:ascii="Times New Roman" w:cs="Times New Roman" w:eastAsia="Times New Roman" w:hAnsi="Times New Roman"/>
          <w:sz w:val="24"/>
          <w:szCs w:val="24"/>
          <w:color w:val="auto"/>
        </w:rPr>
        <w:t>Планът за предотвратяване и ликвидиране на аварии съдържа:</w:t>
      </w:r>
    </w:p>
    <w:p>
      <w:pPr>
        <w:spacing w:after="0" w:line="19" w:lineRule="exact"/>
        <w:rPr>
          <w:sz w:val="20"/>
          <w:szCs w:val="20"/>
          <w:color w:val="auto"/>
        </w:rPr>
      </w:pPr>
    </w:p>
    <w:p>
      <w:pPr>
        <w:ind w:left="1280" w:right="60" w:hanging="362"/>
        <w:spacing w:after="0" w:line="239" w:lineRule="auto"/>
        <w:tabs>
          <w:tab w:leader="none" w:pos="1280" w:val="left"/>
        </w:tabs>
        <w:numPr>
          <w:ilvl w:val="0"/>
          <w:numId w:val="30"/>
        </w:numPr>
        <w:rPr>
          <w:rFonts w:ascii="Symbol" w:cs="Symbol" w:eastAsia="Symbol" w:hAnsi="Symbol"/>
          <w:sz w:val="24"/>
          <w:szCs w:val="24"/>
          <w:color w:val="auto"/>
        </w:rPr>
      </w:pPr>
      <w:r>
        <w:rPr>
          <w:rFonts w:ascii="Times New Roman" w:cs="Times New Roman" w:eastAsia="Times New Roman" w:hAnsi="Times New Roman"/>
          <w:sz w:val="24"/>
          <w:szCs w:val="24"/>
          <w:color w:val="auto"/>
        </w:rPr>
        <w:t>потенциалните опасности и мерките взети за тяхното ликвидиране, както и отговорниците за тяхното изпълнение;</w:t>
      </w:r>
    </w:p>
    <w:p>
      <w:pPr>
        <w:spacing w:after="0" w:line="1" w:lineRule="exact"/>
        <w:rPr>
          <w:rFonts w:ascii="Symbol" w:cs="Symbol" w:eastAsia="Symbol" w:hAnsi="Symbol"/>
          <w:sz w:val="24"/>
          <w:szCs w:val="24"/>
          <w:color w:val="auto"/>
        </w:rPr>
      </w:pPr>
    </w:p>
    <w:p>
      <w:pPr>
        <w:ind w:left="1280" w:hanging="362"/>
        <w:spacing w:after="0" w:line="239" w:lineRule="auto"/>
        <w:tabs>
          <w:tab w:leader="none" w:pos="1280" w:val="left"/>
        </w:tabs>
        <w:numPr>
          <w:ilvl w:val="0"/>
          <w:numId w:val="30"/>
        </w:numPr>
        <w:rPr>
          <w:rFonts w:ascii="Symbol" w:cs="Symbol" w:eastAsia="Symbol" w:hAnsi="Symbol"/>
          <w:sz w:val="24"/>
          <w:szCs w:val="24"/>
          <w:color w:val="auto"/>
        </w:rPr>
      </w:pPr>
      <w:r>
        <w:rPr>
          <w:rFonts w:ascii="Times New Roman" w:cs="Times New Roman" w:eastAsia="Times New Roman" w:hAnsi="Times New Roman"/>
          <w:sz w:val="24"/>
          <w:szCs w:val="24"/>
          <w:color w:val="auto"/>
        </w:rPr>
        <w:t>профилактични мерки за предотвратяване на аварии;</w:t>
      </w:r>
    </w:p>
    <w:p>
      <w:pPr>
        <w:ind w:left="1280" w:right="60" w:hanging="362"/>
        <w:spacing w:after="0" w:line="255" w:lineRule="auto"/>
        <w:tabs>
          <w:tab w:leader="none" w:pos="1280" w:val="left"/>
        </w:tabs>
        <w:numPr>
          <w:ilvl w:val="0"/>
          <w:numId w:val="30"/>
        </w:numPr>
        <w:rPr>
          <w:rFonts w:ascii="Symbol" w:cs="Symbol" w:eastAsia="Symbol" w:hAnsi="Symbol"/>
          <w:sz w:val="24"/>
          <w:szCs w:val="24"/>
          <w:color w:val="auto"/>
        </w:rPr>
      </w:pPr>
      <w:r>
        <w:rPr>
          <w:rFonts w:ascii="Times New Roman" w:cs="Times New Roman" w:eastAsia="Times New Roman" w:hAnsi="Times New Roman"/>
          <w:sz w:val="24"/>
          <w:szCs w:val="24"/>
          <w:color w:val="auto"/>
        </w:rPr>
        <w:t>разпределение на задълженията на лицата, участващи в ликвидирането на аварията и т.н.</w:t>
      </w:r>
    </w:p>
    <w:p>
      <w:pPr>
        <w:spacing w:after="0" w:line="200" w:lineRule="exact"/>
        <w:rPr>
          <w:sz w:val="20"/>
          <w:szCs w:val="20"/>
          <w:color w:val="auto"/>
        </w:rPr>
      </w:pPr>
    </w:p>
    <w:p>
      <w:pPr>
        <w:spacing w:after="0" w:line="385"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0"/>
          <w:szCs w:val="20"/>
          <w:color w:val="auto"/>
        </w:rPr>
        <w:t>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-15240</wp:posOffset>
            </wp:positionH>
            <wp:positionV relativeFrom="paragraph">
              <wp:posOffset>-60325</wp:posOffset>
            </wp:positionV>
            <wp:extent cx="6438900" cy="2857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0">
                      <a:extLst>
                        <a:ext uri="{28A0092B-C50C-407E-A947-70E740481C1C}"/>
                      </a:extLst>
                    </a:blip>
                    <a:srcRect/>
                    <a:stretch>
                      <a:fillRect/>
                    </a:stretch>
                  </pic:blipFill>
                  <pic:spPr bwMode="auto">
                    <a:xfrm>
                      <a:off x="0" y="0"/>
                      <a:ext cx="6438900" cy="28575"/>
                    </a:xfrm>
                    <a:prstGeom prst="rect">
                      <a:avLst/>
                    </a:prstGeom>
                    <a:noFill/>
                  </pic:spPr>
                </pic:pic>
              </a:graphicData>
            </a:graphic>
          </wp:anchor>
        </w:drawing>
      </w:r>
    </w:p>
    <w:p>
      <w:pPr>
        <w:sectPr>
          <w:pgSz w:w="11920" w:h="16850" w:orient="portrait"/>
          <w:cols w:equalWidth="0" w:num="1">
            <w:col w:w="10400"/>
          </w:cols>
          <w:pgMar w:left="1000" w:top="376" w:right="511" w:bottom="0" w:gutter="0" w:footer="0" w:header="0"/>
        </w:sectPr>
      </w:pPr>
    </w:p>
    <w:p>
      <w:pPr>
        <w:spacing w:after="0" w:line="2" w:lineRule="exact"/>
        <w:rPr>
          <w:sz w:val="20"/>
          <w:szCs w:val="20"/>
          <w:color w:val="auto"/>
        </w:rPr>
      </w:pPr>
    </w:p>
    <w:p>
      <w:pPr>
        <w:jc w:val="center"/>
        <w:ind w:right="6760"/>
        <w:spacing w:after="0"/>
        <w:rPr>
          <w:sz w:val="20"/>
          <w:szCs w:val="20"/>
          <w:color w:val="auto"/>
        </w:rPr>
      </w:pPr>
      <w:r>
        <w:rPr>
          <w:rFonts w:ascii="Times New Roman" w:cs="Times New Roman" w:eastAsia="Times New Roman" w:hAnsi="Times New Roman"/>
          <w:sz w:val="15"/>
          <w:szCs w:val="15"/>
          <w:b w:val="1"/>
          <w:bCs w:val="1"/>
          <w:color w:val="999999"/>
        </w:rPr>
        <w:t>Титуляр: „БН-КОНСУЛТ-ИНЖЕНИРИНГ” ООД</w:t>
      </w:r>
    </w:p>
    <w:p>
      <w:pPr>
        <w:spacing w:after="0" w:line="12" w:lineRule="exact"/>
        <w:rPr>
          <w:sz w:val="20"/>
          <w:szCs w:val="20"/>
          <w:color w:val="auto"/>
        </w:rPr>
      </w:pPr>
    </w:p>
    <w:p>
      <w:pPr>
        <w:jc w:val="center"/>
        <w:ind w:right="6880"/>
        <w:spacing w:after="0"/>
        <w:rPr>
          <w:sz w:val="20"/>
          <w:szCs w:val="20"/>
          <w:color w:val="auto"/>
        </w:rPr>
      </w:pPr>
      <w:r>
        <w:rPr>
          <w:rFonts w:ascii="Times New Roman" w:cs="Times New Roman" w:eastAsia="Times New Roman" w:hAnsi="Times New Roman"/>
          <w:sz w:val="16"/>
          <w:szCs w:val="16"/>
          <w:b w:val="1"/>
          <w:bCs w:val="1"/>
          <w:color w:val="999999"/>
        </w:rPr>
        <w:t>гр. София</w:t>
      </w:r>
    </w:p>
    <w:p>
      <w:pPr>
        <w:sectPr>
          <w:pgSz w:w="11920" w:h="16850" w:orient="portrait"/>
          <w:cols w:equalWidth="0" w:num="1">
            <w:col w:w="10400"/>
          </w:cols>
          <w:pgMar w:left="1000" w:top="376" w:right="511" w:bottom="0" w:gutter="0" w:footer="0" w:header="0"/>
          <w:type w:val="continuous"/>
        </w:sectPr>
      </w:pPr>
    </w:p>
    <w:p>
      <w:pPr>
        <w:jc w:val="both"/>
        <w:ind w:right="60"/>
        <w:spacing w:after="0" w:line="255" w:lineRule="auto"/>
        <w:rPr>
          <w:sz w:val="20"/>
          <w:szCs w:val="20"/>
          <w:color w:val="auto"/>
        </w:rPr>
      </w:pPr>
      <w:r>
        <w:rPr>
          <w:rFonts w:ascii="Times New Roman" w:cs="Times New Roman" w:eastAsia="Times New Roman" w:hAnsi="Times New Roman"/>
          <w:sz w:val="20"/>
          <w:szCs w:val="20"/>
          <w:b w:val="1"/>
          <w:bCs w:val="1"/>
          <w:color w:val="auto"/>
        </w:rPr>
        <w:t xml:space="preserve">ПРЕДЛОЖЕНИЕ ЗА УПРАВЛЕНИЕ НА МИННИТЕ ОТПАДЪЦИ при осъществяване на инвестиционно предложение: „Добив на подземни богатства – индустриални минерали - глауконитови пясъчници от находище </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b w:val="1"/>
          <w:bCs w:val="1"/>
          <w:color w:val="auto"/>
        </w:rPr>
        <w:t>ГЛОРИЯ</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b w:val="1"/>
          <w:bCs w:val="1"/>
          <w:color w:val="auto"/>
        </w:rPr>
        <w:t>,</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разположено в землищата на с.</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Мало Пещене и с.</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Голямо Пещене,</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община Враца,</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област Враца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-12700</wp:posOffset>
                </wp:positionH>
                <wp:positionV relativeFrom="paragraph">
                  <wp:posOffset>15875</wp:posOffset>
                </wp:positionV>
                <wp:extent cx="6553200" cy="0"/>
                <wp:wrapNone/>
                <wp:docPr id="64" name="Shape 6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53200" cy="4763"/>
                        </a:xfrm>
                        <a:prstGeom prst="line">
                          <a:avLst/>
                        </a:prstGeom>
                        <a:solidFill>
                          <a:srgbClr val="FFFFFF"/>
                        </a:solidFill>
                        <a:ln w="9525">
                          <a:solidFill>
                            <a:srgbClr val="969696"/>
                          </a:solidFill>
                          <a:miter lim="800000"/>
                          <a:headEnd/>
                          <a:tailEnd/>
                        </a:ln>
                      </wps:spPr>
                      <wps:bodyPr/>
                    </wps:wsp>
                  </a:graphicData>
                </a:graphic>
              </wp:anchor>
            </w:drawing>
          </mc:Choice>
          <mc:Fallback>
            <w:pict>
              <v:line id="Shape 64" o:spid="_x0000_s108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pt,1.25pt" to="515pt,1.25pt" o:allowincell="f" strokecolor="#969696" strokeweight="0.75pt"/>
            </w:pict>
          </mc:Fallback>
        </mc:AlternateContent>
        <mc:AlternateContent>
          <mc:Choice Requires="wps">
            <w:drawing>
              <wp:anchor simplePos="0" relativeHeight="251657728" behindDoc="1" locked="0" layoutInCell="0" allowOverlap="1">
                <wp:simplePos x="0" y="0"/>
                <wp:positionH relativeFrom="column">
                  <wp:posOffset>-80010</wp:posOffset>
                </wp:positionH>
                <wp:positionV relativeFrom="paragraph">
                  <wp:posOffset>130175</wp:posOffset>
                </wp:positionV>
                <wp:extent cx="6722110" cy="0"/>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722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5" o:spid="_x0000_s109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2999pt,10.25pt" to="523pt,10.2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-80010</wp:posOffset>
                </wp:positionH>
                <wp:positionV relativeFrom="paragraph">
                  <wp:posOffset>337820</wp:posOffset>
                </wp:positionV>
                <wp:extent cx="6722110" cy="0"/>
                <wp:wrapNone/>
                <wp:docPr id="66" name="Shape 6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722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6" o:spid="_x0000_s109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2999pt,26.6pt" to="523pt,26.6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-76835</wp:posOffset>
                </wp:positionH>
                <wp:positionV relativeFrom="paragraph">
                  <wp:posOffset>127000</wp:posOffset>
                </wp:positionV>
                <wp:extent cx="0" cy="213360"/>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13360"/>
                        </a:xfrm>
                        <a:prstGeom prst="line">
                          <a:avLst/>
                        </a:prstGeom>
                        <a:solidFill>
                          <a:srgbClr val="FFFFFF"/>
                        </a:solidFill>
                        <a:ln w="6108">
                          <a:solidFill>
                            <a:srgbClr val="000000"/>
                          </a:solidFill>
                          <a:miter lim="800000"/>
                          <a:headEnd/>
                          <a:tailEnd/>
                        </a:ln>
                      </wps:spPr>
                      <wps:bodyPr/>
                    </wps:wsp>
                  </a:graphicData>
                </a:graphic>
              </wp:anchor>
            </w:drawing>
          </mc:Choice>
          <mc:Fallback>
            <w:pict>
              <v:line id="Shape 67" o:spid="_x0000_s109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0499pt,10pt" to="-6.0499pt,26.8pt" o:allowincell="f" strokecolor="#000000" strokeweight="0.4809pt"/>
            </w:pict>
          </mc:Fallback>
        </mc:AlternateContent>
        <mc:AlternateContent>
          <mc:Choice Requires="wps">
            <w:drawing>
              <wp:anchor simplePos="0" relativeHeight="251657728" behindDoc="1" locked="0" layoutInCell="0" allowOverlap="1">
                <wp:simplePos x="0" y="0"/>
                <wp:positionH relativeFrom="column">
                  <wp:posOffset>6638925</wp:posOffset>
                </wp:positionH>
                <wp:positionV relativeFrom="paragraph">
                  <wp:posOffset>127000</wp:posOffset>
                </wp:positionV>
                <wp:extent cx="0" cy="213360"/>
                <wp:wrapNone/>
                <wp:docPr id="68" name="Shape 6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13360"/>
                        </a:xfrm>
                        <a:prstGeom prst="line">
                          <a:avLst/>
                        </a:prstGeom>
                        <a:solidFill>
                          <a:srgbClr val="FFFFFF"/>
                        </a:solidFill>
                        <a:ln w="6108">
                          <a:solidFill>
                            <a:srgbClr val="000000"/>
                          </a:solidFill>
                          <a:miter lim="800000"/>
                          <a:headEnd/>
                          <a:tailEnd/>
                        </a:ln>
                      </wps:spPr>
                      <wps:bodyPr/>
                    </wps:wsp>
                  </a:graphicData>
                </a:graphic>
              </wp:anchor>
            </w:drawing>
          </mc:Choice>
          <mc:Fallback>
            <w:pict>
              <v:line id="Shape 68" o:spid="_x0000_s109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22.75pt,10pt" to="522.75pt,26.8pt" o:allowincell="f" strokecolor="#000000" strokeweight="0.4809pt"/>
            </w:pict>
          </mc:Fallback>
        </mc:AlternateContent>
      </w:r>
    </w:p>
    <w:p>
      <w:pPr>
        <w:spacing w:after="0" w:line="187" w:lineRule="exact"/>
        <w:rPr>
          <w:sz w:val="20"/>
          <w:szCs w:val="20"/>
          <w:color w:val="auto"/>
        </w:rPr>
      </w:pPr>
    </w:p>
    <w:p>
      <w:pPr>
        <w:ind w:left="800" w:hanging="242"/>
        <w:spacing w:after="0"/>
        <w:tabs>
          <w:tab w:leader="none" w:pos="800" w:val="left"/>
        </w:tabs>
        <w:numPr>
          <w:ilvl w:val="0"/>
          <w:numId w:val="31"/>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color w:val="auto"/>
        </w:rPr>
        <w:t>КОНТРОЛНИ И МОНИТОРИНГОВИ ПРОЦЕДУРИ</w:t>
      </w:r>
    </w:p>
    <w:p>
      <w:pPr>
        <w:spacing w:after="0" w:line="149" w:lineRule="exact"/>
        <w:rPr>
          <w:sz w:val="20"/>
          <w:szCs w:val="20"/>
          <w:color w:val="auto"/>
        </w:rPr>
      </w:pPr>
    </w:p>
    <w:p>
      <w:pPr>
        <w:ind w:right="60" w:firstLine="566"/>
        <w:spacing w:after="0" w:line="248" w:lineRule="auto"/>
        <w:rPr>
          <w:sz w:val="20"/>
          <w:szCs w:val="20"/>
          <w:color w:val="auto"/>
        </w:rPr>
      </w:pPr>
      <w:r>
        <w:rPr>
          <w:rFonts w:ascii="Times New Roman" w:cs="Times New Roman" w:eastAsia="Times New Roman" w:hAnsi="Times New Roman"/>
          <w:sz w:val="24"/>
          <w:szCs w:val="24"/>
          <w:color w:val="auto"/>
        </w:rPr>
        <w:t>Предлагат се следните процедури за контрол и мониторинг при осъществяване на дейността по концесията и на генерираните от нея минни отпадъци:</w:t>
      </w:r>
    </w:p>
    <w:p>
      <w:pPr>
        <w:spacing w:after="0" w:line="1" w:lineRule="exact"/>
        <w:rPr>
          <w:sz w:val="20"/>
          <w:szCs w:val="20"/>
          <w:color w:val="auto"/>
        </w:rPr>
      </w:pPr>
    </w:p>
    <w:p>
      <w:pPr>
        <w:ind w:left="1280" w:right="60" w:hanging="362"/>
        <w:spacing w:after="0" w:line="239" w:lineRule="auto"/>
        <w:tabs>
          <w:tab w:leader="none" w:pos="1280" w:val="left"/>
        </w:tabs>
        <w:numPr>
          <w:ilvl w:val="1"/>
          <w:numId w:val="32"/>
        </w:numPr>
        <w:rPr>
          <w:rFonts w:ascii="Symbol" w:cs="Symbol" w:eastAsia="Symbol" w:hAnsi="Symbol"/>
          <w:sz w:val="24"/>
          <w:szCs w:val="24"/>
          <w:color w:val="auto"/>
        </w:rPr>
      </w:pPr>
      <w:r>
        <w:rPr>
          <w:rFonts w:ascii="Times New Roman" w:cs="Times New Roman" w:eastAsia="Times New Roman" w:hAnsi="Times New Roman"/>
          <w:sz w:val="24"/>
          <w:szCs w:val="24"/>
          <w:color w:val="auto"/>
        </w:rPr>
        <w:t>Да се упражнява вътрешен контрол по спазването на заложените в Цялостния работен проект параметри на откривни, добивни и насипищни работи.</w:t>
      </w:r>
    </w:p>
    <w:p>
      <w:pPr>
        <w:spacing w:after="0" w:line="1" w:lineRule="exact"/>
        <w:rPr>
          <w:rFonts w:ascii="Symbol" w:cs="Symbol" w:eastAsia="Symbol" w:hAnsi="Symbol"/>
          <w:sz w:val="24"/>
          <w:szCs w:val="24"/>
          <w:color w:val="auto"/>
        </w:rPr>
      </w:pPr>
    </w:p>
    <w:p>
      <w:pPr>
        <w:ind w:left="1280" w:right="60" w:hanging="362"/>
        <w:spacing w:after="0"/>
        <w:tabs>
          <w:tab w:leader="none" w:pos="1280" w:val="left"/>
        </w:tabs>
        <w:numPr>
          <w:ilvl w:val="1"/>
          <w:numId w:val="32"/>
        </w:numPr>
        <w:rPr>
          <w:rFonts w:ascii="Symbol" w:cs="Symbol" w:eastAsia="Symbol" w:hAnsi="Symbol"/>
          <w:sz w:val="24"/>
          <w:szCs w:val="24"/>
          <w:color w:val="auto"/>
        </w:rPr>
      </w:pPr>
      <w:r>
        <w:rPr>
          <w:rFonts w:ascii="Times New Roman" w:cs="Times New Roman" w:eastAsia="Times New Roman" w:hAnsi="Times New Roman"/>
          <w:sz w:val="24"/>
          <w:szCs w:val="24"/>
          <w:color w:val="auto"/>
        </w:rPr>
        <w:t>Да се извършва редовен маркшайдерски контрол за спазване на проектните решения, които ще бъдат заложени в Цялостния работен проект за експлоатация на находището.</w:t>
      </w:r>
    </w:p>
    <w:p>
      <w:pPr>
        <w:spacing w:after="0" w:line="1" w:lineRule="exact"/>
        <w:rPr>
          <w:rFonts w:ascii="Symbol" w:cs="Symbol" w:eastAsia="Symbol" w:hAnsi="Symbol"/>
          <w:sz w:val="24"/>
          <w:szCs w:val="24"/>
          <w:color w:val="auto"/>
        </w:rPr>
      </w:pPr>
    </w:p>
    <w:p>
      <w:pPr>
        <w:jc w:val="both"/>
        <w:ind w:left="1280" w:right="60" w:hanging="362"/>
        <w:spacing w:after="0" w:line="247" w:lineRule="auto"/>
        <w:tabs>
          <w:tab w:leader="none" w:pos="1280" w:val="left"/>
        </w:tabs>
        <w:numPr>
          <w:ilvl w:val="1"/>
          <w:numId w:val="32"/>
        </w:numPr>
        <w:rPr>
          <w:rFonts w:ascii="Symbol" w:cs="Symbol" w:eastAsia="Symbol" w:hAnsi="Symbol"/>
          <w:sz w:val="24"/>
          <w:szCs w:val="24"/>
          <w:color w:val="auto"/>
        </w:rPr>
      </w:pPr>
      <w:r>
        <w:rPr>
          <w:rFonts w:ascii="Times New Roman" w:cs="Times New Roman" w:eastAsia="Times New Roman" w:hAnsi="Times New Roman"/>
          <w:sz w:val="24"/>
          <w:szCs w:val="24"/>
          <w:color w:val="auto"/>
        </w:rPr>
        <w:t>Да се извършват редовни наблюдения и контрол върху състоянието на насипищата, за да се предотврати своевременно възникването на опасност за отделните компоненти на околната среда и здравето на хората, работещи в кариерата.</w:t>
      </w:r>
    </w:p>
    <w:p>
      <w:pPr>
        <w:spacing w:after="0" w:line="226" w:lineRule="exact"/>
        <w:rPr>
          <w:rFonts w:ascii="Symbol" w:cs="Symbol" w:eastAsia="Symbol" w:hAnsi="Symbol"/>
          <w:sz w:val="24"/>
          <w:szCs w:val="24"/>
          <w:color w:val="auto"/>
        </w:rPr>
      </w:pPr>
    </w:p>
    <w:p>
      <w:pPr>
        <w:ind w:left="800" w:hanging="242"/>
        <w:spacing w:after="0"/>
        <w:tabs>
          <w:tab w:leader="none" w:pos="800" w:val="left"/>
        </w:tabs>
        <w:numPr>
          <w:ilvl w:val="0"/>
          <w:numId w:val="32"/>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color w:val="auto"/>
        </w:rPr>
        <w:t>ЗАКРИВАНЕ И РЕКУЛТИВАЦИЯ НА СЪОРЪЖЕНИЕТО ЗА МИННИ ОТПАДЪЦИ</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-80010</wp:posOffset>
                </wp:positionH>
                <wp:positionV relativeFrom="paragraph">
                  <wp:posOffset>-175260</wp:posOffset>
                </wp:positionV>
                <wp:extent cx="6722110" cy="0"/>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722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9" o:spid="_x0000_s109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2999pt,-13.7999pt" to="523pt,-13.799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-80010</wp:posOffset>
                </wp:positionH>
                <wp:positionV relativeFrom="paragraph">
                  <wp:posOffset>31115</wp:posOffset>
                </wp:positionV>
                <wp:extent cx="6722110" cy="0"/>
                <wp:wrapNone/>
                <wp:docPr id="70" name="Shape 7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722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0" o:spid="_x0000_s109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2999pt,2.45pt" to="523pt,2.4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-76835</wp:posOffset>
                </wp:positionH>
                <wp:positionV relativeFrom="paragraph">
                  <wp:posOffset>-178435</wp:posOffset>
                </wp:positionV>
                <wp:extent cx="0" cy="212725"/>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12725"/>
                        </a:xfrm>
                        <a:prstGeom prst="line">
                          <a:avLst/>
                        </a:prstGeom>
                        <a:solidFill>
                          <a:srgbClr val="FFFFFF"/>
                        </a:solidFill>
                        <a:ln w="6108">
                          <a:solidFill>
                            <a:srgbClr val="000000"/>
                          </a:solidFill>
                          <a:miter lim="800000"/>
                          <a:headEnd/>
                          <a:tailEnd/>
                        </a:ln>
                      </wps:spPr>
                      <wps:bodyPr/>
                    </wps:wsp>
                  </a:graphicData>
                </a:graphic>
              </wp:anchor>
            </w:drawing>
          </mc:Choice>
          <mc:Fallback>
            <w:pict>
              <v:line id="Shape 71" o:spid="_x0000_s109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0499pt,-14.0499pt" to="-6.0499pt,2.7pt" o:allowincell="f" strokecolor="#000000" strokeweight="0.4809pt"/>
            </w:pict>
          </mc:Fallback>
        </mc:AlternateContent>
        <mc:AlternateContent>
          <mc:Choice Requires="wps">
            <w:drawing>
              <wp:anchor simplePos="0" relativeHeight="251657728" behindDoc="1" locked="0" layoutInCell="0" allowOverlap="1">
                <wp:simplePos x="0" y="0"/>
                <wp:positionH relativeFrom="column">
                  <wp:posOffset>6638925</wp:posOffset>
                </wp:positionH>
                <wp:positionV relativeFrom="paragraph">
                  <wp:posOffset>-178435</wp:posOffset>
                </wp:positionV>
                <wp:extent cx="0" cy="212725"/>
                <wp:wrapNone/>
                <wp:docPr id="72" name="Shape 7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12725"/>
                        </a:xfrm>
                        <a:prstGeom prst="line">
                          <a:avLst/>
                        </a:prstGeom>
                        <a:solidFill>
                          <a:srgbClr val="FFFFFF"/>
                        </a:solidFill>
                        <a:ln w="6108">
                          <a:solidFill>
                            <a:srgbClr val="000000"/>
                          </a:solidFill>
                          <a:miter lim="800000"/>
                          <a:headEnd/>
                          <a:tailEnd/>
                        </a:ln>
                      </wps:spPr>
                      <wps:bodyPr/>
                    </wps:wsp>
                  </a:graphicData>
                </a:graphic>
              </wp:anchor>
            </w:drawing>
          </mc:Choice>
          <mc:Fallback>
            <w:pict>
              <v:line id="Shape 72" o:spid="_x0000_s109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22.75pt,-14.0499pt" to="522.75pt,2.7pt" o:allowincell="f" strokecolor="#000000" strokeweight="0.4809pt"/>
            </w:pict>
          </mc:Fallback>
        </mc:AlternateContent>
      </w:r>
    </w:p>
    <w:p>
      <w:pPr>
        <w:spacing w:after="0" w:line="129" w:lineRule="exact"/>
        <w:rPr>
          <w:sz w:val="20"/>
          <w:szCs w:val="20"/>
          <w:color w:val="auto"/>
        </w:rPr>
      </w:pPr>
    </w:p>
    <w:p>
      <w:pPr>
        <w:ind w:right="60" w:firstLine="566"/>
        <w:spacing w:after="0"/>
        <w:rPr>
          <w:sz w:val="20"/>
          <w:szCs w:val="20"/>
          <w:color w:val="auto"/>
        </w:rPr>
      </w:pPr>
      <w:r>
        <w:rPr>
          <w:rFonts w:ascii="Times New Roman" w:cs="Times New Roman" w:eastAsia="Times New Roman" w:hAnsi="Times New Roman"/>
          <w:sz w:val="24"/>
          <w:szCs w:val="24"/>
          <w:color w:val="auto"/>
        </w:rPr>
        <w:t>Основните задачи, които се поставят и решават с разработването на проекта за рекултивация, съгласно Наредба № 26, са:</w:t>
      </w:r>
    </w:p>
    <w:p>
      <w:pPr>
        <w:ind w:right="60" w:firstLine="558"/>
        <w:spacing w:after="0"/>
        <w:tabs>
          <w:tab w:leader="none" w:pos="710" w:val="left"/>
        </w:tabs>
        <w:numPr>
          <w:ilvl w:val="0"/>
          <w:numId w:val="33"/>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Отнемане, съхраняване и оползотворяване на наличния хумусен пласт и геоложки материали от разкривката, годни за нуждите на рекултивацията;</w:t>
      </w:r>
    </w:p>
    <w:p>
      <w:pPr>
        <w:ind w:left="700" w:hanging="142"/>
        <w:spacing w:after="0"/>
        <w:tabs>
          <w:tab w:leader="none" w:pos="700" w:val="left"/>
        </w:tabs>
        <w:numPr>
          <w:ilvl w:val="0"/>
          <w:numId w:val="33"/>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Избор на подходящ начин и етапност за рекултивация на нарушения терен;</w:t>
      </w:r>
    </w:p>
    <w:p>
      <w:pPr>
        <w:ind w:right="60" w:firstLine="558"/>
        <w:spacing w:after="0"/>
        <w:tabs>
          <w:tab w:leader="none" w:pos="718" w:val="left"/>
        </w:tabs>
        <w:numPr>
          <w:ilvl w:val="0"/>
          <w:numId w:val="33"/>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Възстановяване или подобряване на нарушения терен и земи във вид, незагрозяващ околния ландшафт и позволяващ подходящо приобщаване на рекултивираната площ към околната среда.</w:t>
      </w:r>
    </w:p>
    <w:p>
      <w:pPr>
        <w:jc w:val="both"/>
        <w:ind w:right="60" w:firstLine="558"/>
        <w:spacing w:after="0"/>
        <w:tabs>
          <w:tab w:leader="none" w:pos="742" w:val="left"/>
        </w:tabs>
        <w:numPr>
          <w:ilvl w:val="0"/>
          <w:numId w:val="33"/>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Ще бъде разработен проект за поетапна рекултивация на нарушените от кариерния добив терени, който ще бъде съобразен с разработения в цялостния проект календарен график за усвояване на запасите от находището.</w:t>
      </w:r>
    </w:p>
    <w:p>
      <w:pPr>
        <w:ind w:right="60" w:firstLine="566"/>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Рекултивацията включва две основни групи дейности – техническа рекултивация и биологична рекултивация.</w:t>
      </w:r>
    </w:p>
    <w:p>
      <w:pPr>
        <w:ind w:left="560"/>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Техническа рекултивация</w:t>
      </w:r>
    </w:p>
    <w:p>
      <w:pPr>
        <w:jc w:val="both"/>
        <w:ind w:right="60" w:firstLine="566"/>
        <w:spacing w:after="0" w:line="239"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Съгласно чл. 2, ал. 4 на Наредба № 26 за рекултивация на нарушени терени, подобряване на слабопродуктивни земи, отнемане и оползотворяване на хумусния пласт, рекултивацията се извършва чрез:</w:t>
      </w:r>
    </w:p>
    <w:p>
      <w:pPr>
        <w:spacing w:after="0" w:line="1" w:lineRule="exact"/>
        <w:rPr>
          <w:rFonts w:ascii="Times New Roman" w:cs="Times New Roman" w:eastAsia="Times New Roman" w:hAnsi="Times New Roman"/>
          <w:sz w:val="24"/>
          <w:szCs w:val="24"/>
          <w:color w:val="auto"/>
        </w:rPr>
      </w:pPr>
    </w:p>
    <w:p>
      <w:pPr>
        <w:ind w:right="60" w:firstLine="558"/>
        <w:spacing w:after="0"/>
        <w:tabs>
          <w:tab w:leader="none" w:pos="787" w:val="left"/>
        </w:tabs>
        <w:numPr>
          <w:ilvl w:val="0"/>
          <w:numId w:val="33"/>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Изземване и съхраняване на почвата от терените, подлежащи на нарушаване с оглед последващото й оползотворяване, на временни депа;</w:t>
      </w:r>
    </w:p>
    <w:p>
      <w:pPr>
        <w:ind w:right="60" w:firstLine="558"/>
        <w:spacing w:after="0"/>
        <w:tabs>
          <w:tab w:leader="none" w:pos="780" w:val="left"/>
        </w:tabs>
        <w:numPr>
          <w:ilvl w:val="0"/>
          <w:numId w:val="33"/>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Изземване и депониране на вътрешно насипище на откривка с високо съдържание на глинести прослойки;</w:t>
      </w:r>
    </w:p>
    <w:p>
      <w:pPr>
        <w:ind w:right="60" w:firstLine="558"/>
        <w:spacing w:after="0"/>
        <w:tabs>
          <w:tab w:leader="none" w:pos="751" w:val="left"/>
        </w:tabs>
        <w:numPr>
          <w:ilvl w:val="0"/>
          <w:numId w:val="33"/>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Оформяне на площадките и откосите с подходящи наклони за осигуряване на ерозионна устойчивост и управление на повърхностните води;</w:t>
      </w:r>
    </w:p>
    <w:p>
      <w:pPr>
        <w:ind w:left="700" w:hanging="142"/>
        <w:spacing w:after="0"/>
        <w:tabs>
          <w:tab w:leader="none" w:pos="700" w:val="left"/>
        </w:tabs>
        <w:numPr>
          <w:ilvl w:val="0"/>
          <w:numId w:val="33"/>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Отваряне на посадни места по бермите на неработните хоризонти.</w:t>
      </w:r>
    </w:p>
    <w:p>
      <w:pPr>
        <w:jc w:val="both"/>
        <w:ind w:right="60" w:firstLine="566"/>
        <w:spacing w:after="0"/>
        <w:rPr>
          <w:sz w:val="20"/>
          <w:szCs w:val="20"/>
          <w:color w:val="auto"/>
        </w:rPr>
      </w:pPr>
      <w:r>
        <w:rPr>
          <w:rFonts w:ascii="Times New Roman" w:cs="Times New Roman" w:eastAsia="Times New Roman" w:hAnsi="Times New Roman"/>
          <w:sz w:val="24"/>
          <w:szCs w:val="24"/>
          <w:color w:val="auto"/>
        </w:rPr>
        <w:t>Биологичната рекултивация, като втори етап от рекултивацията на нарушените терени, включва изпълнението на комплекс от лесотехнически, агрохимически, технологични и мелиоративни мероприятия за създаване на тревни и горски масиви от дървесна растителност през първите 3 години след изпълнението на техническата рекултивация (чл. 4, т. 2б от Наредба № 26/1996).</w:t>
      </w:r>
    </w:p>
    <w:p>
      <w:pPr>
        <w:ind w:right="60" w:firstLine="558"/>
        <w:spacing w:after="0"/>
        <w:tabs>
          <w:tab w:leader="none" w:pos="811" w:val="left"/>
        </w:tabs>
        <w:numPr>
          <w:ilvl w:val="0"/>
          <w:numId w:val="34"/>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Основните дейности по биологичната рекултивация на нарушените са съобразени с етапността в изпълнението на техническата рекултивация и предвиждат:</w:t>
      </w:r>
    </w:p>
    <w:p>
      <w:pPr>
        <w:ind w:left="700" w:hanging="142"/>
        <w:spacing w:after="0"/>
        <w:tabs>
          <w:tab w:leader="none" w:pos="700" w:val="left"/>
        </w:tabs>
        <w:numPr>
          <w:ilvl w:val="0"/>
          <w:numId w:val="34"/>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Анализ на плодородието на съхранените на депо почвени материали;</w:t>
      </w:r>
    </w:p>
    <w:p>
      <w:pPr>
        <w:ind w:left="700" w:hanging="142"/>
        <w:spacing w:after="0"/>
        <w:tabs>
          <w:tab w:leader="none" w:pos="700" w:val="left"/>
        </w:tabs>
        <w:numPr>
          <w:ilvl w:val="0"/>
          <w:numId w:val="34"/>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Необходимост от прилагане на мелиоранти;</w:t>
      </w:r>
    </w:p>
    <w:p>
      <w:pPr>
        <w:ind w:left="700" w:hanging="142"/>
        <w:spacing w:after="0"/>
        <w:tabs>
          <w:tab w:leader="none" w:pos="700" w:val="left"/>
        </w:tabs>
        <w:numPr>
          <w:ilvl w:val="0"/>
          <w:numId w:val="34"/>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Анализ на растителността в района на кариерата;</w:t>
      </w:r>
    </w:p>
    <w:p>
      <w:pPr>
        <w:ind w:right="60" w:firstLine="558"/>
        <w:spacing w:after="0"/>
        <w:tabs>
          <w:tab w:leader="none" w:pos="770" w:val="left"/>
        </w:tabs>
        <w:numPr>
          <w:ilvl w:val="0"/>
          <w:numId w:val="34"/>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Избор на подходяща за условията на кариерата горскодървесна и тревна растителност; залесяване, затревяване;</w:t>
      </w:r>
    </w:p>
    <w:p>
      <w:pPr>
        <w:ind w:left="700" w:hanging="142"/>
        <w:spacing w:after="0"/>
        <w:tabs>
          <w:tab w:leader="none" w:pos="700" w:val="left"/>
        </w:tabs>
        <w:numPr>
          <w:ilvl w:val="0"/>
          <w:numId w:val="34"/>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Изграждане на защитeн пояс около рискови зони на кариерното поле.</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7"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0"/>
          <w:szCs w:val="20"/>
          <w:color w:val="auto"/>
        </w:rPr>
        <w:t>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-15240</wp:posOffset>
            </wp:positionH>
            <wp:positionV relativeFrom="paragraph">
              <wp:posOffset>-60325</wp:posOffset>
            </wp:positionV>
            <wp:extent cx="6438900" cy="2857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1">
                      <a:extLst>
                        <a:ext uri="{28A0092B-C50C-407E-A947-70E740481C1C}"/>
                      </a:extLst>
                    </a:blip>
                    <a:srcRect/>
                    <a:stretch>
                      <a:fillRect/>
                    </a:stretch>
                  </pic:blipFill>
                  <pic:spPr bwMode="auto">
                    <a:xfrm>
                      <a:off x="0" y="0"/>
                      <a:ext cx="6438900" cy="28575"/>
                    </a:xfrm>
                    <a:prstGeom prst="rect">
                      <a:avLst/>
                    </a:prstGeom>
                    <a:noFill/>
                  </pic:spPr>
                </pic:pic>
              </a:graphicData>
            </a:graphic>
          </wp:anchor>
        </w:drawing>
      </w:r>
    </w:p>
    <w:p>
      <w:pPr>
        <w:sectPr>
          <w:pgSz w:w="11920" w:h="16850" w:orient="portrait"/>
          <w:cols w:equalWidth="0" w:num="1">
            <w:col w:w="10400"/>
          </w:cols>
          <w:pgMar w:left="1000" w:top="376" w:right="511" w:bottom="0" w:gutter="0" w:footer="0" w:header="0"/>
        </w:sectPr>
      </w:pPr>
    </w:p>
    <w:p>
      <w:pPr>
        <w:spacing w:after="0" w:line="2" w:lineRule="exact"/>
        <w:rPr>
          <w:sz w:val="20"/>
          <w:szCs w:val="20"/>
          <w:color w:val="auto"/>
        </w:rPr>
      </w:pPr>
    </w:p>
    <w:p>
      <w:pPr>
        <w:jc w:val="center"/>
        <w:ind w:right="6760"/>
        <w:spacing w:after="0"/>
        <w:rPr>
          <w:sz w:val="20"/>
          <w:szCs w:val="20"/>
          <w:color w:val="auto"/>
        </w:rPr>
      </w:pPr>
      <w:r>
        <w:rPr>
          <w:rFonts w:ascii="Times New Roman" w:cs="Times New Roman" w:eastAsia="Times New Roman" w:hAnsi="Times New Roman"/>
          <w:sz w:val="15"/>
          <w:szCs w:val="15"/>
          <w:b w:val="1"/>
          <w:bCs w:val="1"/>
          <w:color w:val="999999"/>
        </w:rPr>
        <w:t>Титуляр: „БН-КОНСУЛТ-ИНЖЕНИРИНГ” ООД</w:t>
      </w:r>
    </w:p>
    <w:p>
      <w:pPr>
        <w:spacing w:after="0" w:line="12" w:lineRule="exact"/>
        <w:rPr>
          <w:sz w:val="20"/>
          <w:szCs w:val="20"/>
          <w:color w:val="auto"/>
        </w:rPr>
      </w:pPr>
    </w:p>
    <w:p>
      <w:pPr>
        <w:jc w:val="center"/>
        <w:ind w:right="6880"/>
        <w:spacing w:after="0"/>
        <w:rPr>
          <w:sz w:val="20"/>
          <w:szCs w:val="20"/>
          <w:color w:val="auto"/>
        </w:rPr>
      </w:pPr>
      <w:r>
        <w:rPr>
          <w:rFonts w:ascii="Times New Roman" w:cs="Times New Roman" w:eastAsia="Times New Roman" w:hAnsi="Times New Roman"/>
          <w:sz w:val="16"/>
          <w:szCs w:val="16"/>
          <w:b w:val="1"/>
          <w:bCs w:val="1"/>
          <w:color w:val="999999"/>
        </w:rPr>
        <w:t>гр. София</w:t>
      </w:r>
    </w:p>
    <w:p>
      <w:pPr>
        <w:sectPr>
          <w:pgSz w:w="11920" w:h="16850" w:orient="portrait"/>
          <w:cols w:equalWidth="0" w:num="1">
            <w:col w:w="10400"/>
          </w:cols>
          <w:pgMar w:left="1000" w:top="376" w:right="511" w:bottom="0" w:gutter="0" w:footer="0" w:header="0"/>
          <w:type w:val="continuous"/>
        </w:sectPr>
      </w:pPr>
    </w:p>
    <w:p>
      <w:pPr>
        <w:jc w:val="both"/>
        <w:ind w:right="60"/>
        <w:spacing w:after="0" w:line="255" w:lineRule="auto"/>
        <w:rPr>
          <w:sz w:val="20"/>
          <w:szCs w:val="20"/>
          <w:color w:val="auto"/>
        </w:rPr>
      </w:pPr>
      <w:r>
        <w:rPr>
          <w:rFonts w:ascii="Times New Roman" w:cs="Times New Roman" w:eastAsia="Times New Roman" w:hAnsi="Times New Roman"/>
          <w:sz w:val="20"/>
          <w:szCs w:val="20"/>
          <w:b w:val="1"/>
          <w:bCs w:val="1"/>
          <w:color w:val="auto"/>
        </w:rPr>
        <w:t xml:space="preserve">ПРЕДЛОЖЕНИЕ ЗА УПРАВЛЕНИЕ НА МИННИТЕ ОТПАДЪЦИ при осъществяване на инвестиционно предложение: „Добив на подземни богатства – индустриални минерали - глауконитови пясъчници от находище </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b w:val="1"/>
          <w:bCs w:val="1"/>
          <w:color w:val="auto"/>
        </w:rPr>
        <w:t>ГЛОРИЯ</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b w:val="1"/>
          <w:bCs w:val="1"/>
          <w:color w:val="auto"/>
        </w:rPr>
        <w:t>,</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разположено в землищата на с.</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Мало Пещене и с.</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Голямо Пещене,</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община Враца,</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област Враца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-12700</wp:posOffset>
                </wp:positionH>
                <wp:positionV relativeFrom="paragraph">
                  <wp:posOffset>15875</wp:posOffset>
                </wp:positionV>
                <wp:extent cx="6553200" cy="0"/>
                <wp:wrapNone/>
                <wp:docPr id="74" name="Shape 7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53200" cy="4763"/>
                        </a:xfrm>
                        <a:prstGeom prst="line">
                          <a:avLst/>
                        </a:prstGeom>
                        <a:solidFill>
                          <a:srgbClr val="FFFFFF"/>
                        </a:solidFill>
                        <a:ln w="9525">
                          <a:solidFill>
                            <a:srgbClr val="969696"/>
                          </a:solidFill>
                          <a:miter lim="800000"/>
                          <a:headEnd/>
                          <a:tailEnd/>
                        </a:ln>
                      </wps:spPr>
                      <wps:bodyPr/>
                    </wps:wsp>
                  </a:graphicData>
                </a:graphic>
              </wp:anchor>
            </w:drawing>
          </mc:Choice>
          <mc:Fallback>
            <w:pict>
              <v:line id="Shape 74" o:spid="_x0000_s109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pt,1.25pt" to="515pt,1.25pt" o:allowincell="f" strokecolor="#969696" strokeweight="0.75pt"/>
            </w:pict>
          </mc:Fallback>
        </mc:AlternateContent>
        <mc:AlternateContent>
          <mc:Choice Requires="wps">
            <w:drawing>
              <wp:anchor simplePos="0" relativeHeight="251657728" behindDoc="1" locked="0" layoutInCell="0" allowOverlap="1">
                <wp:simplePos x="0" y="0"/>
                <wp:positionH relativeFrom="column">
                  <wp:posOffset>-80010</wp:posOffset>
                </wp:positionH>
                <wp:positionV relativeFrom="paragraph">
                  <wp:posOffset>130175</wp:posOffset>
                </wp:positionV>
                <wp:extent cx="6722110" cy="0"/>
                <wp:wrapNone/>
                <wp:docPr id="75" name="Shape 7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722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5" o:spid="_x0000_s110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2999pt,10.25pt" to="523pt,10.2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-80010</wp:posOffset>
                </wp:positionH>
                <wp:positionV relativeFrom="paragraph">
                  <wp:posOffset>688340</wp:posOffset>
                </wp:positionV>
                <wp:extent cx="6722110" cy="0"/>
                <wp:wrapNone/>
                <wp:docPr id="76" name="Shape 7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7221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6" o:spid="_x0000_s110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2999pt,54.2pt" to="523pt,54.2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-76835</wp:posOffset>
                </wp:positionH>
                <wp:positionV relativeFrom="paragraph">
                  <wp:posOffset>127000</wp:posOffset>
                </wp:positionV>
                <wp:extent cx="0" cy="563880"/>
                <wp:wrapNone/>
                <wp:docPr id="77" name="Shape 7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63880"/>
                        </a:xfrm>
                        <a:prstGeom prst="line">
                          <a:avLst/>
                        </a:prstGeom>
                        <a:solidFill>
                          <a:srgbClr val="FFFFFF"/>
                        </a:solidFill>
                        <a:ln w="6108">
                          <a:solidFill>
                            <a:srgbClr val="000000"/>
                          </a:solidFill>
                          <a:miter lim="800000"/>
                          <a:headEnd/>
                          <a:tailEnd/>
                        </a:ln>
                      </wps:spPr>
                      <wps:bodyPr/>
                    </wps:wsp>
                  </a:graphicData>
                </a:graphic>
              </wp:anchor>
            </w:drawing>
          </mc:Choice>
          <mc:Fallback>
            <w:pict>
              <v:line id="Shape 77" o:spid="_x0000_s110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0499pt,10pt" to="-6.0499pt,54.4pt" o:allowincell="f" strokecolor="#000000" strokeweight="0.4809pt"/>
            </w:pict>
          </mc:Fallback>
        </mc:AlternateContent>
        <mc:AlternateContent>
          <mc:Choice Requires="wps">
            <w:drawing>
              <wp:anchor simplePos="0" relativeHeight="251657728" behindDoc="1" locked="0" layoutInCell="0" allowOverlap="1">
                <wp:simplePos x="0" y="0"/>
                <wp:positionH relativeFrom="column">
                  <wp:posOffset>6638925</wp:posOffset>
                </wp:positionH>
                <wp:positionV relativeFrom="paragraph">
                  <wp:posOffset>127000</wp:posOffset>
                </wp:positionV>
                <wp:extent cx="0" cy="563880"/>
                <wp:wrapNone/>
                <wp:docPr id="78" name="Shape 7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63880"/>
                        </a:xfrm>
                        <a:prstGeom prst="line">
                          <a:avLst/>
                        </a:prstGeom>
                        <a:solidFill>
                          <a:srgbClr val="FFFFFF"/>
                        </a:solidFill>
                        <a:ln w="6108">
                          <a:solidFill>
                            <a:srgbClr val="000000"/>
                          </a:solidFill>
                          <a:miter lim="800000"/>
                          <a:headEnd/>
                          <a:tailEnd/>
                        </a:ln>
                      </wps:spPr>
                      <wps:bodyPr/>
                    </wps:wsp>
                  </a:graphicData>
                </a:graphic>
              </wp:anchor>
            </w:drawing>
          </mc:Choice>
          <mc:Fallback>
            <w:pict>
              <v:line id="Shape 78" o:spid="_x0000_s110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22.75pt,10pt" to="522.75pt,54.4pt" o:allowincell="f" strokecolor="#000000" strokeweight="0.4809pt"/>
            </w:pict>
          </mc:Fallback>
        </mc:AlternateContent>
      </w:r>
    </w:p>
    <w:p>
      <w:pPr>
        <w:spacing w:after="0" w:line="187" w:lineRule="exact"/>
        <w:rPr>
          <w:sz w:val="20"/>
          <w:szCs w:val="20"/>
          <w:color w:val="auto"/>
        </w:rPr>
      </w:pPr>
    </w:p>
    <w:p>
      <w:pPr>
        <w:jc w:val="both"/>
        <w:ind w:right="60" w:firstLine="558"/>
        <w:spacing w:after="0" w:line="259" w:lineRule="auto"/>
        <w:tabs>
          <w:tab w:leader="none" w:pos="814" w:val="left"/>
        </w:tabs>
        <w:numPr>
          <w:ilvl w:val="0"/>
          <w:numId w:val="35"/>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color w:val="auto"/>
        </w:rPr>
        <w:t>ДОКУМЕНТИ, ДОКАЗВАЩИ КВАЛИФИКАЦИЯТА, ТЕХНИЧЕСКИТЕ УМЕНИЯ И СПОСОБНОСТТА НА ОПЕРАТОРА ДА ПОСТИГНЕ ЦЕЛИТЕ НА ПЛАНА ЗА УПРАВЛЕНИЕ НА МИННИТЕ ОТПАДЪЦИ</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4"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0"/>
          <w:szCs w:val="20"/>
          <w:color w:val="auto"/>
        </w:rPr>
        <w:t>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-15240</wp:posOffset>
            </wp:positionH>
            <wp:positionV relativeFrom="paragraph">
              <wp:posOffset>-60325</wp:posOffset>
            </wp:positionV>
            <wp:extent cx="6438900" cy="2857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2">
                      <a:extLst>
                        <a:ext uri="{28A0092B-C50C-407E-A947-70E740481C1C}"/>
                      </a:extLst>
                    </a:blip>
                    <a:srcRect/>
                    <a:stretch>
                      <a:fillRect/>
                    </a:stretch>
                  </pic:blipFill>
                  <pic:spPr bwMode="auto">
                    <a:xfrm>
                      <a:off x="0" y="0"/>
                      <a:ext cx="6438900" cy="28575"/>
                    </a:xfrm>
                    <a:prstGeom prst="rect">
                      <a:avLst/>
                    </a:prstGeom>
                    <a:noFill/>
                  </pic:spPr>
                </pic:pic>
              </a:graphicData>
            </a:graphic>
          </wp:anchor>
        </w:drawing>
      </w:r>
    </w:p>
    <w:p>
      <w:pPr>
        <w:sectPr>
          <w:pgSz w:w="11920" w:h="16850" w:orient="portrait"/>
          <w:cols w:equalWidth="0" w:num="1">
            <w:col w:w="10400"/>
          </w:cols>
          <w:pgMar w:left="1000" w:top="376" w:right="511" w:bottom="0" w:gutter="0" w:footer="0" w:header="0"/>
        </w:sectPr>
      </w:pPr>
    </w:p>
    <w:p>
      <w:pPr>
        <w:spacing w:after="0" w:line="2" w:lineRule="exact"/>
        <w:rPr>
          <w:sz w:val="20"/>
          <w:szCs w:val="20"/>
          <w:color w:val="auto"/>
        </w:rPr>
      </w:pPr>
    </w:p>
    <w:p>
      <w:pPr>
        <w:jc w:val="center"/>
        <w:ind w:right="6760"/>
        <w:spacing w:after="0"/>
        <w:rPr>
          <w:sz w:val="20"/>
          <w:szCs w:val="20"/>
          <w:color w:val="auto"/>
        </w:rPr>
      </w:pPr>
      <w:r>
        <w:rPr>
          <w:rFonts w:ascii="Times New Roman" w:cs="Times New Roman" w:eastAsia="Times New Roman" w:hAnsi="Times New Roman"/>
          <w:sz w:val="15"/>
          <w:szCs w:val="15"/>
          <w:b w:val="1"/>
          <w:bCs w:val="1"/>
          <w:color w:val="999999"/>
        </w:rPr>
        <w:t>Титуляр: „БН-КОНСУЛТ-ИНЖЕНИРИНГ” ООД</w:t>
      </w:r>
    </w:p>
    <w:p>
      <w:pPr>
        <w:spacing w:after="0" w:line="12" w:lineRule="exact"/>
        <w:rPr>
          <w:sz w:val="20"/>
          <w:szCs w:val="20"/>
          <w:color w:val="auto"/>
        </w:rPr>
      </w:pPr>
    </w:p>
    <w:p>
      <w:pPr>
        <w:jc w:val="center"/>
        <w:ind w:right="6880"/>
        <w:spacing w:after="0"/>
        <w:rPr>
          <w:sz w:val="20"/>
          <w:szCs w:val="20"/>
          <w:color w:val="auto"/>
        </w:rPr>
      </w:pPr>
      <w:r>
        <w:rPr>
          <w:rFonts w:ascii="Times New Roman" w:cs="Times New Roman" w:eastAsia="Times New Roman" w:hAnsi="Times New Roman"/>
          <w:sz w:val="16"/>
          <w:szCs w:val="16"/>
          <w:b w:val="1"/>
          <w:bCs w:val="1"/>
          <w:color w:val="999999"/>
        </w:rPr>
        <w:t>гр. София</w:t>
      </w:r>
    </w:p>
    <w:p>
      <w:pPr>
        <w:sectPr>
          <w:pgSz w:w="11920" w:h="16850" w:orient="portrait"/>
          <w:cols w:equalWidth="0" w:num="1">
            <w:col w:w="10400"/>
          </w:cols>
          <w:pgMar w:left="1000" w:top="376" w:right="511" w:bottom="0" w:gutter="0" w:footer="0" w:header="0"/>
          <w:type w:val="continuous"/>
        </w:sectPr>
      </w:pPr>
    </w:p>
    <w:p>
      <w:pPr>
        <w:jc w:val="cente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772400" cy="1068959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3">
                      <a:clrChange>
                        <a:clrFrom>
                          <a:srgbClr val="FFFFFF"/>
                        </a:clrFrom>
                        <a:clrTo>
                          <a:srgbClr val="FFFFFF">
                            <a:alpha val="0"/>
                          </a:srgbClr>
                        </a:clrTo>
                      </a:clrChange>
                      <a:extLst>
                        <a:ext uri="{28A0092B-C50C-407E-A947-70E740481C1C}"/>
                      </a:extLst>
                    </a:blip>
                    <a:srcRect/>
                    <a:stretch>
                      <a:fillRect/>
                    </a:stretch>
                  </pic:blipFill>
                  <pic:spPr bwMode="auto">
                    <a:xfrm>
                      <a:off x="0" y="0"/>
                      <a:ext cx="7772400" cy="10689590"/>
                    </a:xfrm>
                    <a:prstGeom prst="rect">
                      <a:avLst/>
                    </a:prstGeom>
                    <a:noFill/>
                  </pic:spPr>
                </pic:pic>
              </a:graphicData>
            </a:graphic>
          </wp:anchor>
        </w:drawing>
      </w:r>
    </w:p>
    <w:p>
      <w:pPr>
        <w:sectPr>
          <w:pgSz w:w="12240" w:h="16834" w:orient="portrait"/>
          <w:cols w:equalWidth="1" w:num="1" w:space="0"/>
          <w:pgMar w:left="1440" w:top="1440" w:right="1440" w:bottom="875" w:gutter="0" w:footer="0" w:header="0"/>
        </w:sectPr>
      </w:pPr>
    </w:p>
    <w:p>
      <w:pPr>
        <w:jc w:val="cente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10689590" cy="755904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4">
                      <a:clrChange>
                        <a:clrFrom>
                          <a:srgbClr val="FFFFFF"/>
                        </a:clrFrom>
                        <a:clrTo>
                          <a:srgbClr val="FFFFFF">
                            <a:alpha val="0"/>
                          </a:srgbClr>
                        </a:clrTo>
                      </a:clrChange>
                      <a:extLst>
                        <a:ext uri="{28A0092B-C50C-407E-A947-70E740481C1C}"/>
                      </a:extLst>
                    </a:blip>
                    <a:srcRect/>
                    <a:stretch>
                      <a:fillRect/>
                    </a:stretch>
                  </pic:blipFill>
                  <pic:spPr bwMode="auto">
                    <a:xfrm>
                      <a:off x="0" y="0"/>
                      <a:ext cx="10689590" cy="7559040"/>
                    </a:xfrm>
                    <a:prstGeom prst="rect">
                      <a:avLst/>
                    </a:prstGeom>
                    <a:noFill/>
                  </pic:spPr>
                </pic:pic>
              </a:graphicData>
            </a:graphic>
          </wp:anchor>
        </w:drawing>
      </w:r>
    </w:p>
    <w:p>
      <w:pPr>
        <w:sectPr>
          <w:pgSz w:w="16840" w:h="11904" w:orient="landscape"/>
          <w:cols w:equalWidth="1" w:num="1" w:space="0"/>
          <w:pgMar w:left="1440" w:top="1440" w:right="1440" w:bottom="875" w:gutter="0" w:footer="0" w:header="0"/>
        </w:sectPr>
      </w:pPr>
    </w:p>
    <w:p>
      <w:pPr>
        <w:jc w:val="cente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10692130" cy="755904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5">
                      <a:clrChange>
                        <a:clrFrom>
                          <a:srgbClr val="FFFFFF"/>
                        </a:clrFrom>
                        <a:clrTo>
                          <a:srgbClr val="FFFFFF">
                            <a:alpha val="0"/>
                          </a:srgbClr>
                        </a:clrTo>
                      </a:clrChange>
                      <a:extLst>
                        <a:ext uri="{28A0092B-C50C-407E-A947-70E740481C1C}"/>
                      </a:extLst>
                    </a:blip>
                    <a:srcRect/>
                    <a:stretch>
                      <a:fillRect/>
                    </a:stretch>
                  </pic:blipFill>
                  <pic:spPr bwMode="auto">
                    <a:xfrm>
                      <a:off x="0" y="0"/>
                      <a:ext cx="10692130" cy="7559040"/>
                    </a:xfrm>
                    <a:prstGeom prst="rect">
                      <a:avLst/>
                    </a:prstGeom>
                    <a:noFill/>
                  </pic:spPr>
                </pic:pic>
              </a:graphicData>
            </a:graphic>
          </wp:anchor>
        </w:drawing>
      </w:r>
    </w:p>
    <w:sectPr>
      <w:pgSz w:w="16840" w:h="11904" w:orient="landscape"/>
      <w:cols w:equalWidth="1" w:num="1" w:space="0"/>
      <w:pgMar w:left="1440" w:top="1440" w:right="1440" w:bottom="875"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0"/>
    <w:family w:val="roman"/>
    <w:pitch w:val="variable"/>
    <w:sig w:usb0="00000000" w:usb1="00000000" w:usb2="00000000" w:usb3="00000000" w:csb0="80000000" w:csb1="00000000"/>
  </w:font>
  <w:font w:name="Arial">
    <w:panose1 w:val="020B0604020202020204"/>
    <w:charset w:val="00"/>
    <w:family w:val="swiss"/>
    <w:pitch w:val="variable"/>
    <w:sig w:usb0="E0002AFF" w:usb1="C0007843" w:usb2="00000009" w:usb3="00000000" w:csb0="400001FF" w:csb1="FFFF0000"/>
  </w:font>
</w:fonts>
</file>

<file path=word/numbering.xml><?xml version="1.0" encoding="utf-8"?>
<w:numbering xmlns:w="http://schemas.openxmlformats.org/wordprocessingml/2006/main">
  <w:abstractNum w:abstractNumId="0">
    <w:nsid w:val="4DC8"/>
    <w:multiLevelType w:val="hybridMultilevel"/>
    <w:lvl w:ilvl="0">
      <w:lvlJc w:val="left"/>
      <w:lvlText w:val="%1."/>
      <w:numFmt w:val="decimal"/>
      <w:start w:val="5"/>
    </w:lvl>
  </w:abstractNum>
  <w:abstractNum w:abstractNumId="1">
    <w:nsid w:val="6443"/>
    <w:multiLevelType w:val="hybridMultilevel"/>
    <w:lvl w:ilvl="0">
      <w:lvlJc w:val="left"/>
      <w:lvlText w:val="%1."/>
      <w:numFmt w:val="decimal"/>
      <w:start w:val="9"/>
    </w:lvl>
  </w:abstractNum>
  <w:abstractNum w:abstractNumId="2">
    <w:nsid w:val="66BB"/>
    <w:multiLevelType w:val="hybridMultilevel"/>
    <w:lvl w:ilvl="0">
      <w:lvlJc w:val="left"/>
      <w:lvlText w:val="и"/>
      <w:numFmt w:val="bullet"/>
      <w:start w:val="1"/>
    </w:lvl>
    <w:lvl w:ilvl="1">
      <w:lvlJc w:val="left"/>
      <w:lvlText w:val="В"/>
      <w:numFmt w:val="bullet"/>
      <w:start w:val="1"/>
    </w:lvl>
  </w:abstractNum>
  <w:abstractNum w:abstractNumId="3">
    <w:nsid w:val="428B"/>
    <w:multiLevelType w:val="hybridMultilevel"/>
    <w:lvl w:ilvl="0">
      <w:lvlJc w:val="left"/>
      <w:lvlText w:val="%1."/>
      <w:numFmt w:val="decimal"/>
      <w:start w:val="1"/>
    </w:lvl>
  </w:abstractNum>
  <w:abstractNum w:abstractNumId="4">
    <w:nsid w:val="26A6"/>
    <w:multiLevelType w:val="hybridMultilevel"/>
    <w:lvl w:ilvl="0">
      <w:lvlJc w:val="left"/>
      <w:lvlText w:val="и"/>
      <w:numFmt w:val="bullet"/>
      <w:start w:val="1"/>
    </w:lvl>
    <w:lvl w:ilvl="1">
      <w:lvlJc w:val="left"/>
      <w:lvlText w:val="В"/>
      <w:numFmt w:val="bullet"/>
      <w:start w:val="1"/>
    </w:lvl>
  </w:abstractNum>
  <w:abstractNum w:abstractNumId="5">
    <w:nsid w:val="701F"/>
    <w:multiLevelType w:val="hybridMultilevel"/>
    <w:lvl w:ilvl="0">
      <w:lvlJc w:val="left"/>
      <w:lvlText w:val="%1."/>
      <w:numFmt w:val="decimal"/>
      <w:start w:val="2"/>
    </w:lvl>
  </w:abstractNum>
  <w:abstractNum w:abstractNumId="6">
    <w:nsid w:val="5D03"/>
    <w:multiLevelType w:val="hybridMultilevel"/>
    <w:lvl w:ilvl="0">
      <w:lvlJc w:val="left"/>
      <w:lvlText w:val="С"/>
      <w:numFmt w:val="bullet"/>
      <w:start w:val="1"/>
    </w:lvl>
  </w:abstractNum>
  <w:abstractNum w:abstractNumId="7">
    <w:nsid w:val="7A5A"/>
    <w:multiLevelType w:val="hybridMultilevel"/>
    <w:lvl w:ilvl="0">
      <w:lvlJc w:val="left"/>
      <w:lvlText w:val="%1."/>
      <w:numFmt w:val="decimal"/>
      <w:start w:val="3"/>
    </w:lvl>
  </w:abstractNum>
  <w:abstractNum w:abstractNumId="8">
    <w:nsid w:val="767D"/>
    <w:multiLevelType w:val="hybridMultilevel"/>
    <w:lvl w:ilvl="0">
      <w:lvlJc w:val="left"/>
      <w:lvlText w:val="и"/>
      <w:numFmt w:val="bullet"/>
      <w:start w:val="1"/>
    </w:lvl>
    <w:lvl w:ilvl="1">
      <w:lvlJc w:val="left"/>
      <w:lvlText w:val="В"/>
      <w:numFmt w:val="bullet"/>
      <w:start w:val="1"/>
    </w:lvl>
  </w:abstractNum>
  <w:abstractNum w:abstractNumId="9">
    <w:nsid w:val="4509"/>
    <w:multiLevelType w:val="hybridMultilevel"/>
    <w:lvl w:ilvl="0">
      <w:lvlJc w:val="left"/>
      <w:lvlText w:val="•"/>
      <w:numFmt w:val="bullet"/>
      <w:start w:val="1"/>
    </w:lvl>
  </w:abstractNum>
  <w:abstractNum w:abstractNumId="10">
    <w:nsid w:val="1238"/>
    <w:multiLevelType w:val="hybridMultilevel"/>
    <w:lvl w:ilvl="0">
      <w:lvlJc w:val="left"/>
      <w:lvlText w:val="%1."/>
      <w:numFmt w:val="decimal"/>
      <w:start w:val="1"/>
    </w:lvl>
  </w:abstractNum>
  <w:abstractNum w:abstractNumId="11">
    <w:nsid w:val="3B25"/>
    <w:multiLevelType w:val="hybridMultilevel"/>
    <w:lvl w:ilvl="0">
      <w:lvlJc w:val="left"/>
      <w:lvlText w:val="В"/>
      <w:numFmt w:val="bullet"/>
      <w:start w:val="1"/>
    </w:lvl>
  </w:abstractNum>
  <w:abstractNum w:abstractNumId="12">
    <w:nsid w:val="1E1F"/>
    <w:multiLevelType w:val="hybridMultilevel"/>
    <w:lvl w:ilvl="0">
      <w:lvlJc w:val="left"/>
      <w:lvlText w:val="с"/>
      <w:numFmt w:val="bullet"/>
      <w:start w:val="1"/>
    </w:lvl>
  </w:abstractNum>
  <w:abstractNum w:abstractNumId="13">
    <w:nsid w:val="6E5D"/>
    <w:multiLevelType w:val="hybridMultilevel"/>
    <w:lvl w:ilvl="0">
      <w:lvlJc w:val="left"/>
      <w:lvlText w:val="В"/>
      <w:numFmt w:val="bullet"/>
      <w:start w:val="1"/>
    </w:lvl>
  </w:abstractNum>
  <w:abstractNum w:abstractNumId="14">
    <w:nsid w:val="1AD4"/>
    <w:multiLevelType w:val="hybridMultilevel"/>
    <w:lvl w:ilvl="0">
      <w:lvlJc w:val="left"/>
      <w:lvlText w:val="\endash "/>
      <w:numFmt w:val="bullet"/>
      <w:start w:val="1"/>
    </w:lvl>
    <w:lvl w:ilvl="1">
      <w:lvlJc w:val="left"/>
      <w:lvlText w:val="В"/>
      <w:numFmt w:val="bullet"/>
      <w:start w:val="1"/>
    </w:lvl>
  </w:abstractNum>
  <w:abstractNum w:abstractNumId="15">
    <w:nsid w:val="63CB"/>
    <w:multiLevelType w:val="hybridMultilevel"/>
    <w:lvl w:ilvl="0">
      <w:lvlJc w:val="left"/>
      <w:lvlText w:val="и"/>
      <w:numFmt w:val="bullet"/>
      <w:start w:val="1"/>
    </w:lvl>
    <w:lvl w:ilvl="1">
      <w:lvlJc w:val="left"/>
      <w:lvlText w:val="В"/>
      <w:numFmt w:val="bullet"/>
      <w:start w:val="1"/>
    </w:lvl>
  </w:abstractNum>
  <w:abstractNum w:abstractNumId="16">
    <w:nsid w:val="6BFC"/>
    <w:multiLevelType w:val="hybridMultilevel"/>
    <w:lvl w:ilvl="0">
      <w:lvlJc w:val="left"/>
      <w:lvlText w:val="•"/>
      <w:numFmt w:val="bullet"/>
      <w:start w:val="1"/>
    </w:lvl>
  </w:abstractNum>
  <w:abstractNum w:abstractNumId="17">
    <w:nsid w:val="7F96"/>
    <w:multiLevelType w:val="hybridMultilevel"/>
    <w:lvl w:ilvl="0">
      <w:lvlJc w:val="left"/>
      <w:lvlText w:val="%1."/>
      <w:numFmt w:val="decimal"/>
      <w:start w:val="2"/>
    </w:lvl>
  </w:abstractNum>
  <w:abstractNum w:abstractNumId="18">
    <w:nsid w:val="7FF5"/>
    <w:multiLevelType w:val="hybridMultilevel"/>
    <w:lvl w:ilvl="0">
      <w:lvlJc w:val="left"/>
      <w:lvlText w:val="%1."/>
      <w:numFmt w:val="decimal"/>
      <w:start w:val="3"/>
    </w:lvl>
    <w:lvl w:ilvl="1">
      <w:lvlJc w:val="left"/>
      <w:lvlText w:val="•"/>
      <w:numFmt w:val="bullet"/>
      <w:start w:val="1"/>
    </w:lvl>
  </w:abstractNum>
  <w:abstractNum w:abstractNumId="19">
    <w:nsid w:val="4E45"/>
    <w:multiLevelType w:val="hybridMultilevel"/>
    <w:lvl w:ilvl="0">
      <w:lvlJc w:val="left"/>
      <w:lvlText w:val="В"/>
      <w:numFmt w:val="bullet"/>
      <w:start w:val="1"/>
    </w:lvl>
  </w:abstractNum>
  <w:abstractNum w:abstractNumId="20">
    <w:nsid w:val="323B"/>
    <w:multiLevelType w:val="hybridMultilevel"/>
    <w:lvl w:ilvl="0">
      <w:lvlJc w:val="left"/>
      <w:lvlText w:val="а"/>
      <w:numFmt w:val="bullet"/>
      <w:start w:val="1"/>
    </w:lvl>
  </w:abstractNum>
  <w:abstractNum w:abstractNumId="21">
    <w:nsid w:val="2213"/>
    <w:multiLevelType w:val="hybridMultilevel"/>
    <w:lvl w:ilvl="0">
      <w:lvlJc w:val="left"/>
      <w:lvlText w:val="%1."/>
      <w:numFmt w:val="decimal"/>
      <w:start w:val="3"/>
    </w:lvl>
    <w:lvl w:ilvl="1">
      <w:lvlJc w:val="left"/>
      <w:lvlText w:val="•"/>
      <w:numFmt w:val="bullet"/>
      <w:start w:val="1"/>
    </w:lvl>
  </w:abstractNum>
  <w:abstractNum w:abstractNumId="22">
    <w:nsid w:val="260D"/>
    <w:multiLevelType w:val="hybridMultilevel"/>
    <w:lvl w:ilvl="0">
      <w:lvlJc w:val="left"/>
      <w:lvlText w:val="%1."/>
      <w:numFmt w:val="decimal"/>
      <w:start w:val="1"/>
    </w:lvl>
    <w:lvl w:ilvl="1">
      <w:lvlJc w:val="left"/>
      <w:lvlText w:val="•"/>
      <w:numFmt w:val="bullet"/>
      <w:start w:val="1"/>
    </w:lvl>
  </w:abstractNum>
  <w:abstractNum w:abstractNumId="23">
    <w:nsid w:val="6B89"/>
    <w:multiLevelType w:val="hybridMultilevel"/>
    <w:lvl w:ilvl="0">
      <w:lvlJc w:val="left"/>
      <w:lvlText w:val="%1."/>
      <w:numFmt w:val="decimal"/>
      <w:start w:val="5"/>
    </w:lvl>
    <w:lvl w:ilvl="1">
      <w:lvlJc w:val="left"/>
      <w:lvlText w:val="•"/>
      <w:numFmt w:val="bullet"/>
      <w:start w:val="1"/>
    </w:lvl>
  </w:abstractNum>
  <w:abstractNum w:abstractNumId="24">
    <w:nsid w:val="30A"/>
    <w:multiLevelType w:val="hybridMultilevel"/>
    <w:lvl w:ilvl="0">
      <w:lvlJc w:val="left"/>
      <w:lvlText w:val="в"/>
      <w:numFmt w:val="bullet"/>
      <w:start w:val="1"/>
    </w:lvl>
  </w:abstractNum>
  <w:abstractNum w:abstractNumId="25">
    <w:nsid w:val="301C"/>
    <w:multiLevelType w:val="hybridMultilevel"/>
    <w:lvl w:ilvl="0">
      <w:lvlJc w:val="left"/>
      <w:lvlText w:val="•"/>
      <w:numFmt w:val="bullet"/>
      <w:start w:val="1"/>
    </w:lvl>
    <w:lvl w:ilvl="1">
      <w:lvlJc w:val="left"/>
      <w:lvlText w:val="С"/>
      <w:numFmt w:val="bullet"/>
      <w:start w:val="1"/>
    </w:lvl>
  </w:abstractNum>
  <w:abstractNum w:abstractNumId="26">
    <w:nsid w:val="BDB"/>
    <w:multiLevelType w:val="hybridMultilevel"/>
    <w:lvl w:ilvl="0">
      <w:lvlJc w:val="left"/>
      <w:lvlText w:val="•"/>
      <w:numFmt w:val="bullet"/>
      <w:start w:val="1"/>
    </w:lvl>
  </w:abstractNum>
  <w:abstractNum w:abstractNumId="27">
    <w:nsid w:val="56AE"/>
    <w:multiLevelType w:val="hybridMultilevel"/>
    <w:lvl w:ilvl="0">
      <w:lvlJc w:val="left"/>
      <w:lvlText w:val="%1."/>
      <w:numFmt w:val="decimal"/>
      <w:start w:val="6"/>
    </w:lvl>
  </w:abstractNum>
  <w:abstractNum w:abstractNumId="28">
    <w:nsid w:val="732"/>
    <w:multiLevelType w:val="hybridMultilevel"/>
    <w:lvl w:ilvl="0">
      <w:lvlJc w:val="left"/>
      <w:lvlText w:val="•"/>
      <w:numFmt w:val="bullet"/>
      <w:start w:val="1"/>
    </w:lvl>
  </w:abstractNum>
  <w:abstractNum w:abstractNumId="29">
    <w:nsid w:val="120"/>
    <w:multiLevelType w:val="hybridMultilevel"/>
    <w:lvl w:ilvl="0">
      <w:lvlJc w:val="left"/>
      <w:lvlText w:val="•"/>
      <w:numFmt w:val="bullet"/>
      <w:start w:val="1"/>
    </w:lvl>
  </w:abstractNum>
  <w:abstractNum w:abstractNumId="30">
    <w:nsid w:val="759A"/>
    <w:multiLevelType w:val="hybridMultilevel"/>
    <w:lvl w:ilvl="0">
      <w:lvlJc w:val="left"/>
      <w:lvlText w:val="%1."/>
      <w:numFmt w:val="decimal"/>
      <w:start w:val="7"/>
    </w:lvl>
  </w:abstractNum>
  <w:abstractNum w:abstractNumId="31">
    <w:nsid w:val="2350"/>
    <w:multiLevelType w:val="hybridMultilevel"/>
    <w:lvl w:ilvl="0">
      <w:lvlJc w:val="left"/>
      <w:lvlText w:val="%1."/>
      <w:numFmt w:val="decimal"/>
      <w:start w:val="7"/>
    </w:lvl>
    <w:lvl w:ilvl="1">
      <w:lvlJc w:val="left"/>
      <w:lvlText w:val="•"/>
      <w:numFmt w:val="bullet"/>
      <w:start w:val="1"/>
    </w:lvl>
  </w:abstractNum>
  <w:abstractNum w:abstractNumId="32">
    <w:nsid w:val="22EE"/>
    <w:multiLevelType w:val="hybridMultilevel"/>
    <w:lvl w:ilvl="0">
      <w:lvlJc w:val="left"/>
      <w:lvlText w:val="-"/>
      <w:numFmt w:val="bullet"/>
      <w:start w:val="1"/>
    </w:lvl>
  </w:abstractNum>
  <w:abstractNum w:abstractNumId="33">
    <w:nsid w:val="4B40"/>
    <w:multiLevelType w:val="hybridMultilevel"/>
    <w:lvl w:ilvl="0">
      <w:lvlJc w:val="left"/>
      <w:lvlText w:val="-"/>
      <w:numFmt w:val="bullet"/>
      <w:start w:val="1"/>
    </w:lvl>
  </w:abstractNum>
  <w:abstractNum w:abstractNumId="34">
    <w:nsid w:val="5878"/>
    <w:multiLevelType w:val="hybridMultilevel"/>
    <w:lvl w:ilvl="0">
      <w:lvlJc w:val="left"/>
      <w:lvlText w:val="%1."/>
      <w:numFmt w:val="decimal"/>
      <w:start w:val="9"/>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
  <Relationship Id="rId3" Type="http://schemas.openxmlformats.org/officeDocument/2006/relationships/settings" Target="settings.xml" />
  <Relationship Id="rId1" Type="http://schemas.openxmlformats.org/officeDocument/2006/relationships/styles" Target="styles.xml" />
  <Relationship Id="rId5" Type="http://schemas.openxmlformats.org/officeDocument/2006/relationships/fontTable" Target="fontTable.xml" />
  <Relationship Id="rId4" Type="http://schemas.openxmlformats.org/officeDocument/2006/relationships/webSettings" Target="webSettings.xml" />
  <Relationship Id="rId7" Type="http://schemas.openxmlformats.org/officeDocument/2006/relationships/numbering" Target="numbering.xml" />
  <Relationship Id="rId8" Type="http://schemas.openxmlformats.org/officeDocument/2006/relationships/image" Target="media/image1.jpeg" />
  <Relationship Id="rId11" Type="http://schemas.openxmlformats.org/officeDocument/2006/relationships/image" Target="media/image2.jpeg" />
  <Relationship Id="rId12" Type="http://schemas.openxmlformats.org/officeDocument/2006/relationships/image" Target="media/image3.jpeg" />
  <Relationship Id="rId13" Type="http://schemas.openxmlformats.org/officeDocument/2006/relationships/image" Target="media/image4.jpeg" />
  <Relationship Id="rId14" Type="http://schemas.openxmlformats.org/officeDocument/2006/relationships/image" Target="media/image5.jpeg" />
  <Relationship Id="rId15" Type="http://schemas.openxmlformats.org/officeDocument/2006/relationships/image" Target="media/image6.jpeg" />
  <Relationship Id="rId16" Type="http://schemas.openxmlformats.org/officeDocument/2006/relationships/image" Target="media/image7.jpeg" />
  <Relationship Id="rId17" Type="http://schemas.openxmlformats.org/officeDocument/2006/relationships/image" Target="media/image8.jpeg" />
  <Relationship Id="rId18" Type="http://schemas.openxmlformats.org/officeDocument/2006/relationships/image" Target="media/image9.jpeg" />
  <Relationship Id="rId19" Type="http://schemas.openxmlformats.org/officeDocument/2006/relationships/image" Target="media/image10.jpeg" />
  <Relationship Id="rId20" Type="http://schemas.openxmlformats.org/officeDocument/2006/relationships/image" Target="media/image11.jpeg" />
  <Relationship Id="rId21" Type="http://schemas.openxmlformats.org/officeDocument/2006/relationships/image" Target="media/image12.jpeg" />
  <Relationship Id="rId22" Type="http://schemas.openxmlformats.org/officeDocument/2006/relationships/image" Target="media/image13.jpeg" />
  <Relationship Id="rId23" Type="http://schemas.openxmlformats.org/officeDocument/2006/relationships/image" Target="media/image14.jpeg" />
  <Relationship Id="rId24" Type="http://schemas.openxmlformats.org/officeDocument/2006/relationships/image" Target="media/image15.jpeg" />
  <Relationship Id="rId25" Type="http://schemas.openxmlformats.org/officeDocument/2006/relationships/image" Target="media/image16.jpeg" />
  <Relationship Id="rId26" Type="http://schemas.openxmlformats.org/officeDocument/2006/relationships/image" Target="media/image17.jpeg" />
  <Relationship Id="rId27" Type="http://schemas.openxmlformats.org/officeDocument/2006/relationships/image" Target="media/image18.jpeg" />
  <Relationship Id="rId28" Type="http://schemas.openxmlformats.org/officeDocument/2006/relationships/image" Target="media/image19.jpeg" />
  <Relationship Id="rId29" Type="http://schemas.openxmlformats.org/officeDocument/2006/relationships/image" Target="media/image20.jpeg" />
  <Relationship Id="rId30" Type="http://schemas.openxmlformats.org/officeDocument/2006/relationships/image" Target="media/image21.jpeg" />
  <Relationship Id="rId31" Type="http://schemas.openxmlformats.org/officeDocument/2006/relationships/image" Target="media/image22.jpeg" />
  <Relationship Id="rId32" Type="http://schemas.openxmlformats.org/officeDocument/2006/relationships/image" Target="media/image23.jpeg" />
  <Relationship Id="rId33" Type="http://schemas.openxmlformats.org/officeDocument/2006/relationships/image" Target="media/image24.jpeg" />
  <Relationship Id="rId34" Type="http://schemas.openxmlformats.org/officeDocument/2006/relationships/image" Target="media/image25.jpeg" />
  <Relationship Id="rId35" Type="http://schemas.openxmlformats.org/officeDocument/2006/relationships/image" Target="media/image26.jpeg" />
</Relationships>
</file>

<file path=docProps/app.xml><?xml version="1.0" encoding="utf-8"?>
<ap:Properties xmlns:vt="http://schemas.openxmlformats.org/officeDocument/2006/docPropsVTypes" xmlns:ap="http://schemas.openxmlformats.org/officeDocument/2006/extended-properties">
  <ap:Template>Normal.dotm</ap:Template>
  <ap:TotalTime>0</ap:TotalTime>
  <ap:Pages>1</ap:Pages>
  <ap:Words>0</ap:Words>
  <ap:Characters>3</ap:Characters>
  <ap:Application/>
  <ap:DocSecurity>0</ap:DocSecurity>
  <ap:Lines>1</ap:Lines>
  <ap:Paragraphs>1</ap:Paragraphs>
  <ap:ScaleCrop>false</ap:ScaleCrop>
  <ap:HeadingPairs>
    <vt:vector baseType="variant" size="2">
      <vt:variant>
        <vt:lpstr>Title</vt:lpstr>
      </vt:variant>
      <vt:variant>
        <vt:i4>1</vt:i4>
      </vt:variant>
    </vt:vector>
  </ap:HeadingPairs>
  <ap:TitlesOfParts>
    <vt:vector baseType="lpstr" size="1">
      <vt:lpstr/>
    </vt:vector>
  </ap:TitlesOfParts>
  <ap:Company/>
  <ap:LinksUpToDate>false</ap:LinksUpToDate>
  <ap:CharactersWithSpaces>3</ap:CharactersWithSpaces>
  <ap:SharedDoc>false</ap:SharedDoc>
  <ap:HyperlinksChanged>false</ap:HyperlinksChanged>
  <ap:AppVersion>1.0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2018-08-21T07:58:30Z</dcterms:created>
  <dcterms:modified xsi:type="dcterms:W3CDTF">2018-08-21T07:58:30Z</dcterms:modified>
</cp:coreProperties>
</file>

<file path=docProps/custom.xml><?xml version="1.0" encoding="utf-8"?>
<Properties xmlns:vt="http://schemas.openxmlformats.org/officeDocument/2006/docPropsVTypes" xmlns="http://schemas.openxmlformats.org/officeDocument/2006/custom-properties"/>
</file>